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6710E" w14:textId="563FE11D" w:rsidR="00AA1143" w:rsidRPr="006B37DF" w:rsidRDefault="00EA7BC9" w:rsidP="007D1A71">
      <w:pPr>
        <w:widowControl/>
        <w:autoSpaceDE/>
        <w:autoSpaceDN/>
        <w:spacing w:after="360"/>
        <w:jc w:val="center"/>
        <w:rPr>
          <w:rFonts w:eastAsia="Times New Roman"/>
          <w:b/>
          <w:bCs/>
          <w:color w:val="000000"/>
          <w:sz w:val="32"/>
          <w:szCs w:val="32"/>
        </w:rPr>
      </w:pPr>
      <w:r w:rsidRPr="00EA7BC9">
        <w:rPr>
          <w:rFonts w:eastAsia="Times New Roman"/>
          <w:b/>
          <w:bCs/>
          <w:color w:val="000000"/>
          <w:sz w:val="32"/>
          <w:szCs w:val="32"/>
        </w:rPr>
        <w:t>Cannabis Clinical Outcomes Research Conference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0"/>
        <w:gridCol w:w="5600"/>
      </w:tblGrid>
      <w:tr w:rsidR="00316276" w14:paraId="4820F5DB" w14:textId="77777777" w:rsidTr="00D46F6D">
        <w:trPr>
          <w:jc w:val="center"/>
        </w:trPr>
        <w:tc>
          <w:tcPr>
            <w:tcW w:w="2320" w:type="dxa"/>
          </w:tcPr>
          <w:p w14:paraId="3A290BD5" w14:textId="250C6D3D" w:rsidR="00316276" w:rsidRPr="000876C2" w:rsidRDefault="00316276" w:rsidP="007D1A71">
            <w:pPr>
              <w:widowControl/>
              <w:autoSpaceDE/>
              <w:autoSpaceDN/>
              <w:spacing w:after="120"/>
              <w:jc w:val="center"/>
              <w:rPr>
                <w:rFonts w:eastAsia="Times New Roman"/>
                <w:b/>
                <w:bCs/>
                <w:color w:val="000000"/>
                <w:sz w:val="24"/>
                <w:szCs w:val="24"/>
              </w:rPr>
            </w:pPr>
            <w:r w:rsidRPr="000876C2">
              <w:rPr>
                <w:rFonts w:eastAsia="Times New Roman"/>
                <w:b/>
                <w:bCs/>
                <w:color w:val="000000"/>
                <w:sz w:val="24"/>
                <w:szCs w:val="24"/>
              </w:rPr>
              <w:t>Location</w:t>
            </w:r>
          </w:p>
        </w:tc>
        <w:tc>
          <w:tcPr>
            <w:tcW w:w="5600" w:type="dxa"/>
          </w:tcPr>
          <w:p w14:paraId="53B7AAD1" w14:textId="37F5E1A5" w:rsidR="00316276" w:rsidRPr="000876C2" w:rsidRDefault="00E83DF7" w:rsidP="007D1A71">
            <w:pPr>
              <w:widowControl/>
              <w:autoSpaceDE/>
              <w:autoSpaceDN/>
              <w:spacing w:after="120"/>
              <w:jc w:val="center"/>
              <w:rPr>
                <w:rFonts w:eastAsia="Times New Roman"/>
                <w:color w:val="000000"/>
                <w:sz w:val="24"/>
                <w:szCs w:val="24"/>
              </w:rPr>
            </w:pPr>
            <w:r w:rsidRPr="00E83DF7">
              <w:rPr>
                <w:rFonts w:eastAsia="Times New Roman"/>
                <w:color w:val="000000"/>
                <w:sz w:val="24"/>
                <w:szCs w:val="24"/>
              </w:rPr>
              <w:t>UF Research and Academic Center, Orlando Florida</w:t>
            </w:r>
            <w:r w:rsidRPr="00E83DF7">
              <w:rPr>
                <w:rFonts w:ascii="Segoe UI Symbol" w:eastAsia="Times New Roman" w:hAnsi="Segoe UI Symbol" w:cs="Segoe UI Symbol"/>
                <w:color w:val="000000"/>
                <w:sz w:val="24"/>
                <w:szCs w:val="24"/>
              </w:rPr>
              <w:t>✝</w:t>
            </w:r>
          </w:p>
        </w:tc>
      </w:tr>
      <w:tr w:rsidR="00316276" w14:paraId="0550D655" w14:textId="77777777" w:rsidTr="00D46F6D">
        <w:trPr>
          <w:jc w:val="center"/>
        </w:trPr>
        <w:tc>
          <w:tcPr>
            <w:tcW w:w="2320" w:type="dxa"/>
          </w:tcPr>
          <w:p w14:paraId="3384BBE9" w14:textId="5D8D087F" w:rsidR="00316276" w:rsidRPr="000876C2" w:rsidRDefault="00316276" w:rsidP="007D1A71">
            <w:pPr>
              <w:widowControl/>
              <w:autoSpaceDE/>
              <w:autoSpaceDN/>
              <w:spacing w:after="120"/>
              <w:jc w:val="center"/>
              <w:rPr>
                <w:rFonts w:eastAsia="Times New Roman"/>
                <w:b/>
                <w:bCs/>
                <w:color w:val="000000"/>
                <w:sz w:val="24"/>
                <w:szCs w:val="24"/>
              </w:rPr>
            </w:pPr>
            <w:r w:rsidRPr="000876C2">
              <w:rPr>
                <w:rFonts w:eastAsia="Times New Roman"/>
                <w:b/>
                <w:bCs/>
                <w:color w:val="000000"/>
                <w:sz w:val="24"/>
                <w:szCs w:val="24"/>
              </w:rPr>
              <w:t>Date</w:t>
            </w:r>
          </w:p>
        </w:tc>
        <w:tc>
          <w:tcPr>
            <w:tcW w:w="5600" w:type="dxa"/>
          </w:tcPr>
          <w:p w14:paraId="06299BF6" w14:textId="29840FF8" w:rsidR="00316276" w:rsidRPr="000876C2" w:rsidRDefault="00E83DF7" w:rsidP="007D1A71">
            <w:pPr>
              <w:widowControl/>
              <w:autoSpaceDE/>
              <w:autoSpaceDN/>
              <w:spacing w:after="120"/>
              <w:jc w:val="center"/>
              <w:rPr>
                <w:rFonts w:eastAsia="Times New Roman"/>
                <w:color w:val="000000"/>
                <w:sz w:val="24"/>
                <w:szCs w:val="24"/>
              </w:rPr>
            </w:pPr>
            <w:r>
              <w:rPr>
                <w:rFonts w:eastAsia="Times New Roman"/>
                <w:color w:val="000000"/>
                <w:sz w:val="24"/>
                <w:szCs w:val="24"/>
              </w:rPr>
              <w:t>November</w:t>
            </w:r>
            <w:r w:rsidR="0090769B">
              <w:rPr>
                <w:rFonts w:eastAsia="Times New Roman"/>
                <w:color w:val="000000"/>
                <w:sz w:val="24"/>
                <w:szCs w:val="24"/>
              </w:rPr>
              <w:t xml:space="preserve"> </w:t>
            </w:r>
            <w:r>
              <w:rPr>
                <w:rFonts w:eastAsia="Times New Roman"/>
                <w:color w:val="000000"/>
                <w:sz w:val="24"/>
                <w:szCs w:val="24"/>
              </w:rPr>
              <w:t>5-6</w:t>
            </w:r>
            <w:r w:rsidR="0090769B" w:rsidRPr="0090769B">
              <w:rPr>
                <w:rFonts w:eastAsia="Times New Roman"/>
                <w:color w:val="000000"/>
                <w:sz w:val="24"/>
                <w:szCs w:val="24"/>
                <w:vertAlign w:val="superscript"/>
              </w:rPr>
              <w:t>th</w:t>
            </w:r>
            <w:r w:rsidR="0090769B">
              <w:rPr>
                <w:rFonts w:eastAsia="Times New Roman"/>
                <w:color w:val="000000"/>
                <w:sz w:val="24"/>
                <w:szCs w:val="24"/>
              </w:rPr>
              <w:t>, 202</w:t>
            </w:r>
            <w:r w:rsidR="006C6197">
              <w:rPr>
                <w:rFonts w:eastAsia="Times New Roman"/>
                <w:color w:val="000000"/>
                <w:sz w:val="24"/>
                <w:szCs w:val="24"/>
              </w:rPr>
              <w:t>6</w:t>
            </w:r>
          </w:p>
        </w:tc>
      </w:tr>
    </w:tbl>
    <w:p w14:paraId="741FE097" w14:textId="77777777" w:rsidR="00096DA5" w:rsidRPr="00096DA5" w:rsidRDefault="00096DA5" w:rsidP="007D1A71">
      <w:pPr>
        <w:widowControl/>
        <w:autoSpaceDE/>
        <w:autoSpaceDN/>
        <w:rPr>
          <w:rFonts w:eastAsia="Times New Roman"/>
          <w:b/>
          <w:bCs/>
          <w:color w:val="000000"/>
        </w:rPr>
      </w:pPr>
    </w:p>
    <w:p w14:paraId="3C2497B7" w14:textId="5B8288E6" w:rsidR="0076249D" w:rsidRDefault="0076249D" w:rsidP="007D1A71">
      <w:pPr>
        <w:pStyle w:val="Heading1"/>
        <w:spacing w:after="240"/>
        <w:ind w:left="115"/>
        <w:rPr>
          <w:b w:val="0"/>
          <w:bCs w:val="0"/>
        </w:rPr>
      </w:pPr>
      <w:r>
        <w:t xml:space="preserve">Registration: </w:t>
      </w:r>
      <w:hyperlink r:id="rId7" w:history="1">
        <w:r w:rsidR="00755823" w:rsidRPr="00755823">
          <w:rPr>
            <w:rStyle w:val="Hyperlink"/>
            <w:b w:val="0"/>
            <w:bCs w:val="0"/>
          </w:rPr>
          <w:t>https://ccorc.mmjoutcomes.org/registration/</w:t>
        </w:r>
      </w:hyperlink>
    </w:p>
    <w:p w14:paraId="7FB15D5C" w14:textId="75026F8E" w:rsidR="0045381F" w:rsidRDefault="0045381F" w:rsidP="007D1A71">
      <w:pPr>
        <w:pStyle w:val="Heading1"/>
        <w:spacing w:after="240"/>
        <w:ind w:left="115"/>
      </w:pPr>
      <w:r>
        <w:t>Fee(s)</w:t>
      </w:r>
      <w:r>
        <w:rPr>
          <w:spacing w:val="-4"/>
        </w:rPr>
        <w:t xml:space="preserve"> </w:t>
      </w:r>
      <w:r>
        <w:t>for</w:t>
      </w:r>
      <w:r>
        <w:rPr>
          <w:spacing w:val="-5"/>
        </w:rPr>
        <w:t xml:space="preserve"> </w:t>
      </w:r>
      <w:r>
        <w:t>Participation:</w:t>
      </w:r>
      <w:r>
        <w:rPr>
          <w:spacing w:val="-5"/>
        </w:rPr>
        <w:t xml:space="preserve"> </w:t>
      </w:r>
      <w:r w:rsidR="00755823">
        <w:rPr>
          <w:b w:val="0"/>
          <w:bCs w:val="0"/>
          <w:spacing w:val="-5"/>
        </w:rPr>
        <w:t>Yes (</w:t>
      </w:r>
      <w:r w:rsidR="00755823" w:rsidRPr="00755823">
        <w:rPr>
          <w:b w:val="0"/>
          <w:bCs w:val="0"/>
          <w:spacing w:val="-5"/>
        </w:rPr>
        <w:t>Registration: A one-time charge</w:t>
      </w:r>
      <w:r w:rsidR="00755823">
        <w:rPr>
          <w:b w:val="0"/>
          <w:bCs w:val="0"/>
          <w:spacing w:val="-5"/>
        </w:rPr>
        <w:t>)</w:t>
      </w:r>
    </w:p>
    <w:p w14:paraId="77A3D165" w14:textId="71C71148" w:rsidR="007D1A71" w:rsidRPr="007D1A71" w:rsidRDefault="007D1A71" w:rsidP="007D1A71">
      <w:pPr>
        <w:pStyle w:val="Heading1"/>
        <w:spacing w:after="240"/>
        <w:ind w:left="115"/>
        <w:rPr>
          <w:spacing w:val="-2"/>
        </w:rPr>
      </w:pPr>
      <w:r>
        <w:t>Target</w:t>
      </w:r>
      <w:r>
        <w:rPr>
          <w:spacing w:val="-11"/>
        </w:rPr>
        <w:t xml:space="preserve"> </w:t>
      </w:r>
      <w:r>
        <w:t>Audience:</w:t>
      </w:r>
      <w:r>
        <w:rPr>
          <w:spacing w:val="-9"/>
        </w:rPr>
        <w:t xml:space="preserve"> </w:t>
      </w:r>
      <w:r w:rsidRPr="007D1A71">
        <w:rPr>
          <w:b w:val="0"/>
          <w:bCs w:val="0"/>
          <w:spacing w:val="-2"/>
        </w:rPr>
        <w:t>Pharmacists</w:t>
      </w:r>
    </w:p>
    <w:p w14:paraId="49181AF5" w14:textId="0AED852E" w:rsidR="00AA1143" w:rsidRDefault="00000000" w:rsidP="007D1A71">
      <w:pPr>
        <w:pStyle w:val="Heading1"/>
        <w:spacing w:before="240"/>
        <w:ind w:left="115"/>
      </w:pPr>
      <w:r>
        <w:t>Program</w:t>
      </w:r>
      <w:r>
        <w:rPr>
          <w:spacing w:val="-11"/>
        </w:rPr>
        <w:t xml:space="preserve"> </w:t>
      </w:r>
      <w:r w:rsidR="0027636E">
        <w:t>L</w:t>
      </w:r>
      <w:r>
        <w:t>earning</w:t>
      </w:r>
      <w:r>
        <w:rPr>
          <w:spacing w:val="-8"/>
        </w:rPr>
        <w:t xml:space="preserve"> </w:t>
      </w:r>
      <w:r w:rsidR="0027636E">
        <w:rPr>
          <w:spacing w:val="-2"/>
        </w:rPr>
        <w:t>O</w:t>
      </w:r>
      <w:r>
        <w:rPr>
          <w:spacing w:val="-2"/>
        </w:rPr>
        <w:t>bjectives:</w:t>
      </w:r>
    </w:p>
    <w:p w14:paraId="3CCEFE33" w14:textId="2821FAD3" w:rsidR="00AA1143" w:rsidRDefault="00000000" w:rsidP="007D1A71">
      <w:pPr>
        <w:pStyle w:val="BodyText"/>
        <w:spacing w:before="60" w:after="120"/>
        <w:ind w:left="115"/>
        <w:rPr>
          <w:spacing w:val="-5"/>
        </w:rPr>
      </w:pPr>
      <w:r>
        <w:t>At</w:t>
      </w:r>
      <w:r>
        <w:rPr>
          <w:spacing w:val="-2"/>
        </w:rPr>
        <w:t xml:space="preserve"> </w:t>
      </w:r>
      <w:r>
        <w:t>the</w:t>
      </w:r>
      <w:r>
        <w:rPr>
          <w:spacing w:val="-5"/>
        </w:rPr>
        <w:t xml:space="preserve"> </w:t>
      </w:r>
      <w:r>
        <w:t>completion</w:t>
      </w:r>
      <w:r>
        <w:rPr>
          <w:spacing w:val="-5"/>
        </w:rPr>
        <w:t xml:space="preserve"> </w:t>
      </w:r>
      <w:r>
        <w:t>of</w:t>
      </w:r>
      <w:r>
        <w:rPr>
          <w:spacing w:val="-3"/>
        </w:rPr>
        <w:t xml:space="preserve"> </w:t>
      </w:r>
      <w:r>
        <w:t>this</w:t>
      </w:r>
      <w:r>
        <w:rPr>
          <w:spacing w:val="-4"/>
        </w:rPr>
        <w:t xml:space="preserve"> </w:t>
      </w:r>
      <w:r w:rsidR="00D46F6D">
        <w:t>program</w:t>
      </w:r>
      <w:r>
        <w:t>,</w:t>
      </w:r>
      <w:r>
        <w:rPr>
          <w:spacing w:val="-5"/>
        </w:rPr>
        <w:t xml:space="preserve"> </w:t>
      </w:r>
      <w:r>
        <w:t>the</w:t>
      </w:r>
      <w:r>
        <w:rPr>
          <w:spacing w:val="-2"/>
        </w:rPr>
        <w:t xml:space="preserve"> </w:t>
      </w:r>
      <w:r>
        <w:t>participant</w:t>
      </w:r>
      <w:r>
        <w:rPr>
          <w:spacing w:val="-1"/>
        </w:rPr>
        <w:t xml:space="preserve"> </w:t>
      </w:r>
      <w:r>
        <w:t>will</w:t>
      </w:r>
      <w:r>
        <w:rPr>
          <w:spacing w:val="-5"/>
        </w:rPr>
        <w:t xml:space="preserve"> </w:t>
      </w:r>
      <w:r>
        <w:t>be</w:t>
      </w:r>
      <w:r>
        <w:rPr>
          <w:spacing w:val="-2"/>
        </w:rPr>
        <w:t xml:space="preserve"> </w:t>
      </w:r>
      <w:r>
        <w:t>able</w:t>
      </w:r>
      <w:r>
        <w:rPr>
          <w:spacing w:val="-1"/>
        </w:rPr>
        <w:t xml:space="preserve"> </w:t>
      </w:r>
      <w:r>
        <w:rPr>
          <w:spacing w:val="-5"/>
        </w:rPr>
        <w:t>to:</w:t>
      </w:r>
    </w:p>
    <w:p w14:paraId="43F36F86" w14:textId="77777777" w:rsidR="007B5D63" w:rsidRDefault="007B5D63" w:rsidP="007B5D63">
      <w:pPr>
        <w:pStyle w:val="EnvelopeReturn"/>
        <w:numPr>
          <w:ilvl w:val="0"/>
          <w:numId w:val="3"/>
        </w:numPr>
        <w:tabs>
          <w:tab w:val="left" w:pos="0"/>
          <w:tab w:val="left" w:pos="720"/>
          <w:tab w:val="left" w:pos="1029"/>
          <w:tab w:val="left" w:pos="1440"/>
          <w:tab w:val="left" w:pos="17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1008" w:hanging="288"/>
        <w:rPr>
          <w:rFonts w:asciiTheme="minorHAnsi" w:hAnsiTheme="minorHAnsi" w:cstheme="minorHAnsi"/>
          <w:bCs/>
          <w:sz w:val="22"/>
          <w:szCs w:val="22"/>
        </w:rPr>
      </w:pPr>
      <w:r w:rsidRPr="007B5D63">
        <w:rPr>
          <w:rFonts w:asciiTheme="minorHAnsi" w:hAnsiTheme="minorHAnsi" w:cstheme="minorHAnsi"/>
          <w:bCs/>
          <w:sz w:val="22"/>
          <w:szCs w:val="22"/>
        </w:rPr>
        <w:t>Describe the role of cannabinoids in food intake signaling and energy metabolism.</w:t>
      </w:r>
    </w:p>
    <w:p w14:paraId="693FD795" w14:textId="77777777" w:rsidR="007B5D63" w:rsidRPr="007B5D63" w:rsidRDefault="007B5D63" w:rsidP="007B5D63">
      <w:pPr>
        <w:pStyle w:val="EnvelopeReturn"/>
        <w:numPr>
          <w:ilvl w:val="0"/>
          <w:numId w:val="3"/>
        </w:numPr>
        <w:tabs>
          <w:tab w:val="left" w:pos="0"/>
          <w:tab w:val="left" w:pos="720"/>
          <w:tab w:val="left" w:pos="1029"/>
          <w:tab w:val="left" w:pos="1440"/>
          <w:tab w:val="left" w:pos="17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1008" w:hanging="288"/>
        <w:rPr>
          <w:rFonts w:asciiTheme="minorHAnsi" w:hAnsiTheme="minorHAnsi" w:cstheme="minorHAnsi"/>
          <w:bCs/>
          <w:sz w:val="20"/>
        </w:rPr>
      </w:pPr>
      <w:r w:rsidRPr="007B5D63">
        <w:rPr>
          <w:rFonts w:asciiTheme="minorHAnsi" w:hAnsiTheme="minorHAnsi" w:cstheme="minorHAnsi"/>
          <w:bCs/>
          <w:sz w:val="22"/>
          <w:szCs w:val="18"/>
        </w:rPr>
        <w:t>Explain tolerance breaks and other forms of controlled cannabis use and their implications for clinical research and practice.</w:t>
      </w:r>
    </w:p>
    <w:p w14:paraId="2E222ED7" w14:textId="3E449CCA" w:rsidR="00B84185" w:rsidRPr="007B5D63" w:rsidRDefault="007B5D63" w:rsidP="007B5D63">
      <w:pPr>
        <w:pStyle w:val="EnvelopeReturn"/>
        <w:numPr>
          <w:ilvl w:val="0"/>
          <w:numId w:val="3"/>
        </w:numPr>
        <w:tabs>
          <w:tab w:val="left" w:pos="0"/>
          <w:tab w:val="left" w:pos="720"/>
          <w:tab w:val="left" w:pos="1029"/>
          <w:tab w:val="left" w:pos="1440"/>
          <w:tab w:val="left" w:pos="17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1008" w:hanging="288"/>
        <w:rPr>
          <w:rFonts w:asciiTheme="minorHAnsi" w:hAnsiTheme="minorHAnsi" w:cstheme="minorHAnsi"/>
          <w:bCs/>
          <w:sz w:val="20"/>
        </w:rPr>
      </w:pPr>
      <w:r w:rsidRPr="007B5D63">
        <w:rPr>
          <w:rFonts w:asciiTheme="minorHAnsi" w:hAnsiTheme="minorHAnsi" w:cstheme="minorHAnsi"/>
          <w:bCs/>
          <w:sz w:val="22"/>
          <w:szCs w:val="18"/>
        </w:rPr>
        <w:t>Discuss using behavioral economics to understand cannabis use and misuse.</w:t>
      </w:r>
    </w:p>
    <w:p w14:paraId="498ED906" w14:textId="7DEFE322" w:rsidR="00AA1143" w:rsidRDefault="00000000" w:rsidP="007D1A71">
      <w:pPr>
        <w:pStyle w:val="Heading1"/>
        <w:spacing w:before="240"/>
        <w:ind w:left="115"/>
        <w:rPr>
          <w:spacing w:val="-2"/>
        </w:rPr>
      </w:pPr>
      <w:r>
        <w:t>Continuing</w:t>
      </w:r>
      <w:r>
        <w:rPr>
          <w:spacing w:val="-10"/>
        </w:rPr>
        <w:t xml:space="preserve"> </w:t>
      </w:r>
      <w:r>
        <w:t>Education</w:t>
      </w:r>
      <w:r>
        <w:rPr>
          <w:spacing w:val="-11"/>
        </w:rPr>
        <w:t xml:space="preserve"> </w:t>
      </w:r>
      <w:r>
        <w:rPr>
          <w:spacing w:val="-2"/>
        </w:rPr>
        <w:t>Accreditation</w:t>
      </w:r>
      <w:r w:rsidR="000876C2">
        <w:rPr>
          <w:spacing w:val="-2"/>
        </w:rPr>
        <w:t>:</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9119"/>
      </w:tblGrid>
      <w:tr w:rsidR="000876C2" w14:paraId="555755F6" w14:textId="77777777" w:rsidTr="00174AEF">
        <w:trPr>
          <w:trHeight w:val="773"/>
        </w:trPr>
        <w:tc>
          <w:tcPr>
            <w:tcW w:w="690" w:type="dxa"/>
            <w:vAlign w:val="center"/>
          </w:tcPr>
          <w:p w14:paraId="4A97D2B9" w14:textId="5181C519" w:rsidR="000876C2" w:rsidRDefault="000876C2" w:rsidP="007D1A71">
            <w:pPr>
              <w:pStyle w:val="Heading1"/>
              <w:ind w:left="0"/>
            </w:pPr>
            <w:r>
              <w:rPr>
                <w:noProof/>
              </w:rPr>
              <w:drawing>
                <wp:inline distT="0" distB="0" distL="0" distR="0" wp14:anchorId="5791138E" wp14:editId="39378865">
                  <wp:extent cx="397565" cy="375367"/>
                  <wp:effectExtent l="0" t="0" r="2540" b="0"/>
                  <wp:docPr id="471340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7565" cy="375367"/>
                          </a:xfrm>
                          <a:prstGeom prst="rect">
                            <a:avLst/>
                          </a:prstGeom>
                          <a:noFill/>
                        </pic:spPr>
                      </pic:pic>
                    </a:graphicData>
                  </a:graphic>
                </wp:inline>
              </w:drawing>
            </w:r>
          </w:p>
        </w:tc>
        <w:tc>
          <w:tcPr>
            <w:tcW w:w="9265" w:type="dxa"/>
            <w:tcMar>
              <w:left w:w="0" w:type="dxa"/>
              <w:right w:w="115" w:type="dxa"/>
            </w:tcMar>
            <w:vAlign w:val="center"/>
          </w:tcPr>
          <w:p w14:paraId="3D7BE6F0" w14:textId="5532C505" w:rsidR="000876C2" w:rsidRPr="00174AEF" w:rsidRDefault="000876C2" w:rsidP="007D1A71">
            <w:pPr>
              <w:pStyle w:val="Heading1"/>
              <w:ind w:left="0"/>
              <w:rPr>
                <w:b w:val="0"/>
                <w:bCs w:val="0"/>
              </w:rPr>
            </w:pPr>
            <w:r w:rsidRPr="000876C2">
              <w:rPr>
                <w:b w:val="0"/>
                <w:bCs w:val="0"/>
              </w:rPr>
              <w:t>The University of Florida is accredited by the Accreditation Council for Pharmacy Education as a provider of continuing pharmacy education.</w:t>
            </w:r>
          </w:p>
        </w:tc>
      </w:tr>
    </w:tbl>
    <w:p w14:paraId="0852C749" w14:textId="62537844" w:rsidR="00AA1143" w:rsidRDefault="000876C2" w:rsidP="007D1A71">
      <w:pPr>
        <w:pStyle w:val="Heading1"/>
        <w:spacing w:before="240" w:after="160"/>
        <w:ind w:left="115"/>
        <w:rPr>
          <w:b w:val="0"/>
          <w:bCs w:val="0"/>
        </w:rPr>
      </w:pPr>
      <w:r>
        <w:t xml:space="preserve">Credit Designation: </w:t>
      </w:r>
      <w:r w:rsidR="007363F0" w:rsidRPr="007363F0">
        <w:rPr>
          <w:b w:val="0"/>
          <w:bCs w:val="0"/>
        </w:rPr>
        <w:t>The University of Florida College of Pharmacy has accredited this live material for a total of 3.0 contact hours of continuing pharmacy education</w:t>
      </w:r>
      <w:r w:rsidR="007B5D63">
        <w:rPr>
          <w:b w:val="0"/>
          <w:bCs w:val="0"/>
        </w:rPr>
        <w:t xml:space="preserve">. </w:t>
      </w:r>
      <w:r w:rsidR="007363F0" w:rsidRPr="007363F0">
        <w:rPr>
          <w:b w:val="0"/>
          <w:bCs w:val="0"/>
        </w:rPr>
        <w:t>P</w:t>
      </w:r>
      <w:r w:rsidR="007363F0">
        <w:rPr>
          <w:b w:val="0"/>
          <w:bCs w:val="0"/>
        </w:rPr>
        <w:t>articipants</w:t>
      </w:r>
      <w:r w:rsidR="007363F0" w:rsidRPr="007363F0">
        <w:rPr>
          <w:b w:val="0"/>
          <w:bCs w:val="0"/>
        </w:rPr>
        <w:t xml:space="preserve"> should claim only the credit commensurate with the extent of their participation in the activity</w:t>
      </w:r>
      <w:r w:rsidR="007363F0" w:rsidRPr="00DD3212">
        <w:t>*</w:t>
      </w:r>
      <w:r w:rsidR="007363F0" w:rsidRPr="007363F0">
        <w:rPr>
          <w:b w:val="0"/>
          <w:bCs w:val="0"/>
        </w:rPr>
        <w:t>. Pharmacists will receive credit for this activity through NABP's CPE Monitor system within 30 days following the activity. For pharmacists registered in Florida, credit will also be reported to CE Broker.</w:t>
      </w:r>
    </w:p>
    <w:p w14:paraId="0C0B1319" w14:textId="703CDEB2" w:rsidR="007363F0" w:rsidRDefault="00DD3212" w:rsidP="007D1A71">
      <w:pPr>
        <w:spacing w:after="240"/>
        <w:ind w:left="115"/>
      </w:pPr>
      <w:r w:rsidRPr="00DD3212">
        <w:rPr>
          <w:b/>
          <w:bCs/>
        </w:rPr>
        <w:t>*</w:t>
      </w:r>
      <w:r w:rsidR="007363F0" w:rsidRPr="00DD3212">
        <w:t xml:space="preserve">Providers </w:t>
      </w:r>
      <w:r w:rsidRPr="00DD3212">
        <w:t>cannot</w:t>
      </w:r>
      <w:r w:rsidR="007363F0" w:rsidRPr="00DD3212">
        <w:t xml:space="preserve"> offer partial credit for continuing pharmacy education activities. </w:t>
      </w:r>
      <w:r w:rsidR="007363F0">
        <w:t>A participant will receive full credit for full attendance of a single session or no credit for partial attendance of a single session.</w:t>
      </w:r>
    </w:p>
    <w:p w14:paraId="6DE97788" w14:textId="2AF9663F" w:rsidR="007D1A71" w:rsidRPr="007D1A71" w:rsidRDefault="007D1A71" w:rsidP="007D1A71">
      <w:pPr>
        <w:pStyle w:val="Heading1"/>
        <w:spacing w:after="240"/>
        <w:ind w:left="115"/>
        <w:rPr>
          <w:b w:val="0"/>
          <w:bCs w:val="0"/>
        </w:rPr>
      </w:pPr>
      <w:r>
        <w:t xml:space="preserve">Schedule of Educational Activities: </w:t>
      </w:r>
      <w:hyperlink r:id="rId9" w:history="1">
        <w:r w:rsidR="007B5D63" w:rsidRPr="007B5D63">
          <w:rPr>
            <w:rStyle w:val="Hyperlink"/>
            <w:b w:val="0"/>
            <w:bCs w:val="0"/>
          </w:rPr>
          <w:t>https://ccorc.mmjoutcomes.org/agenda/</w:t>
        </w:r>
      </w:hyperlink>
      <w:r w:rsidR="007B5D63">
        <w:rPr>
          <w:b w:val="0"/>
          <w:bCs w:val="0"/>
        </w:rPr>
        <w:t xml:space="preserve"> (Accredited sessions are denoted with an asterisk (*) as indicated at the bottom of the webpage)</w:t>
      </w:r>
    </w:p>
    <w:p w14:paraId="11A24EFC" w14:textId="3D223793" w:rsidR="00DD3212" w:rsidRPr="007D1A71" w:rsidRDefault="00DD3212" w:rsidP="007D1A71">
      <w:pPr>
        <w:pStyle w:val="Heading1"/>
        <w:spacing w:after="240"/>
        <w:ind w:left="115"/>
        <w:rPr>
          <w:b w:val="0"/>
          <w:bCs w:val="0"/>
        </w:rPr>
      </w:pPr>
      <w:r w:rsidRPr="00DD3212">
        <w:t>Requirements</w:t>
      </w:r>
      <w:r w:rsidRPr="00DD3212">
        <w:rPr>
          <w:spacing w:val="-7"/>
        </w:rPr>
        <w:t xml:space="preserve"> </w:t>
      </w:r>
      <w:r w:rsidRPr="00DD3212">
        <w:t>for</w:t>
      </w:r>
      <w:r w:rsidRPr="00DD3212">
        <w:rPr>
          <w:spacing w:val="-4"/>
        </w:rPr>
        <w:t xml:space="preserve"> </w:t>
      </w:r>
      <w:r w:rsidRPr="00DD3212">
        <w:t>Successful</w:t>
      </w:r>
      <w:r w:rsidRPr="00DD3212">
        <w:rPr>
          <w:spacing w:val="-4"/>
        </w:rPr>
        <w:t xml:space="preserve"> </w:t>
      </w:r>
      <w:r w:rsidRPr="00DD3212">
        <w:t xml:space="preserve">Completion: </w:t>
      </w:r>
      <w:r w:rsidRPr="007D1A71">
        <w:rPr>
          <w:b w:val="0"/>
          <w:bCs w:val="0"/>
        </w:rPr>
        <w:t xml:space="preserve">To earn credit for a session, participants must attend the session in full (partial credit will not be provided). Upon conclusion of the session, participants must </w:t>
      </w:r>
      <w:r w:rsidRPr="007D1A71">
        <w:t>claim attendance by 1</w:t>
      </w:r>
      <w:r w:rsidR="007B5D63">
        <w:t>1</w:t>
      </w:r>
      <w:r w:rsidRPr="007D1A71">
        <w:t>/</w:t>
      </w:r>
      <w:r w:rsidR="007B5D63">
        <w:t>23</w:t>
      </w:r>
      <w:r w:rsidRPr="007D1A71">
        <w:t>/2026 @11:59 PM EDT</w:t>
      </w:r>
      <w:r w:rsidRPr="007D1A71">
        <w:rPr>
          <w:b w:val="0"/>
          <w:bCs w:val="0"/>
        </w:rPr>
        <w:t xml:space="preserve">. After claiming attendance, the corresponding </w:t>
      </w:r>
      <w:r w:rsidRPr="007D1A71">
        <w:t xml:space="preserve">activity evaluation must be completed by </w:t>
      </w:r>
      <w:r w:rsidR="007B5D63">
        <w:t>11</w:t>
      </w:r>
      <w:r w:rsidRPr="007D1A71">
        <w:t>/</w:t>
      </w:r>
      <w:r w:rsidR="007B5D63">
        <w:t>23</w:t>
      </w:r>
      <w:r w:rsidRPr="007D1A71">
        <w:t>/2026 @11:59 PM EDT</w:t>
      </w:r>
      <w:r w:rsidRPr="007D1A71">
        <w:rPr>
          <w:b w:val="0"/>
          <w:bCs w:val="0"/>
        </w:rPr>
        <w:t>.</w:t>
      </w:r>
    </w:p>
    <w:p w14:paraId="1102BA06" w14:textId="1F4969BA" w:rsidR="00DD3212" w:rsidRDefault="007D1A71" w:rsidP="007D1A71">
      <w:pPr>
        <w:pStyle w:val="Heading1"/>
        <w:spacing w:after="240"/>
        <w:ind w:left="115"/>
        <w:rPr>
          <w:b w:val="0"/>
          <w:bCs w:val="0"/>
        </w:rPr>
      </w:pPr>
      <w:r>
        <w:t xml:space="preserve">Continuing Education Reporting Requirements: </w:t>
      </w:r>
      <w:r w:rsidRPr="007D1A71">
        <w:rPr>
          <w:b w:val="0"/>
          <w:bCs w:val="0"/>
        </w:rPr>
        <w:t>Florida pharmacist license numbers, NABP e-Profile ID numbers and participant’s Month and Day of Birth are required for credit issuance. The University of Florida Office of Continuing Pharmacy Education is not responsible for unissued education credits where the required information is either omitted or submitted incorrectly. Registrants will be contacted once by email to attempt to obtain missing or invalid information.</w:t>
      </w:r>
      <w:r w:rsidR="007B5D63">
        <w:rPr>
          <w:b w:val="0"/>
          <w:bCs w:val="0"/>
        </w:rPr>
        <w:t xml:space="preserve"> </w:t>
      </w:r>
      <w:r w:rsidR="00F918CC">
        <w:rPr>
          <w:b w:val="0"/>
          <w:bCs w:val="0"/>
        </w:rPr>
        <w:t>A p</w:t>
      </w:r>
      <w:r w:rsidR="007B5D63">
        <w:rPr>
          <w:b w:val="0"/>
          <w:bCs w:val="0"/>
        </w:rPr>
        <w:t xml:space="preserve">harmacists may view the licensure section of the </w:t>
      </w:r>
      <w:r w:rsidR="00F918CC">
        <w:rPr>
          <w:b w:val="0"/>
          <w:bCs w:val="0"/>
        </w:rPr>
        <w:t xml:space="preserve">University of Florida Office of Continuing Pharmacy Education </w:t>
      </w:r>
      <w:r w:rsidR="007B5D63">
        <w:rPr>
          <w:b w:val="0"/>
          <w:bCs w:val="0"/>
        </w:rPr>
        <w:t xml:space="preserve">CloudCME FAQ webpage to </w:t>
      </w:r>
      <w:r w:rsidR="00F918CC">
        <w:rPr>
          <w:b w:val="0"/>
          <w:bCs w:val="0"/>
        </w:rPr>
        <w:t xml:space="preserve">ensure his or her license information has been provided correctly: </w:t>
      </w:r>
      <w:hyperlink r:id="rId10" w:anchor="Licensure-Information" w:history="1">
        <w:r w:rsidR="00F918CC" w:rsidRPr="006F4ABB">
          <w:rPr>
            <w:rStyle w:val="Hyperlink"/>
            <w:b w:val="0"/>
            <w:bCs w:val="0"/>
          </w:rPr>
          <w:t>https://cpe.pharmacy.ufl.edu/resources/frequently-asked-questions/cloudcme-faq/#Licensure-Information</w:t>
        </w:r>
      </w:hyperlink>
    </w:p>
    <w:p w14:paraId="2002C97C" w14:textId="77777777" w:rsidR="0076249D" w:rsidRDefault="0076249D" w:rsidP="00B547AE">
      <w:pPr>
        <w:pStyle w:val="Heading1"/>
        <w:spacing w:after="80"/>
        <w:ind w:left="115"/>
      </w:pPr>
      <w:r w:rsidRPr="00A11A8A">
        <w:lastRenderedPageBreak/>
        <w:t xml:space="preserve">ACPE Universal Activity Number (UAN): </w:t>
      </w:r>
    </w:p>
    <w:tbl>
      <w:tblPr>
        <w:tblStyle w:val="PlainTable1"/>
        <w:tblW w:w="0" w:type="auto"/>
        <w:tblLook w:val="04A0" w:firstRow="1" w:lastRow="0" w:firstColumn="1" w:lastColumn="0" w:noHBand="0" w:noVBand="1"/>
      </w:tblPr>
      <w:tblGrid>
        <w:gridCol w:w="4045"/>
        <w:gridCol w:w="1710"/>
        <w:gridCol w:w="2797"/>
        <w:gridCol w:w="1518"/>
      </w:tblGrid>
      <w:tr w:rsidR="007D1A71" w:rsidRPr="007D1A71" w14:paraId="37AA7974" w14:textId="77777777" w:rsidTr="00B547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45" w:type="dxa"/>
            <w:shd w:val="clear" w:color="auto" w:fill="365F91" w:themeFill="accent1" w:themeFillShade="BF"/>
            <w:noWrap/>
            <w:vAlign w:val="center"/>
            <w:hideMark/>
          </w:tcPr>
          <w:p w14:paraId="40AD8BA8" w14:textId="77777777" w:rsidR="007D1A71" w:rsidRPr="00B547AE" w:rsidRDefault="007D1A71" w:rsidP="00B547AE">
            <w:pPr>
              <w:jc w:val="center"/>
              <w:rPr>
                <w:color w:val="FFFFFF" w:themeColor="background1"/>
              </w:rPr>
            </w:pPr>
            <w:r w:rsidRPr="00B547AE">
              <w:rPr>
                <w:color w:val="FFFFFF" w:themeColor="background1"/>
              </w:rPr>
              <w:t>Activity Title</w:t>
            </w:r>
          </w:p>
        </w:tc>
        <w:tc>
          <w:tcPr>
            <w:tcW w:w="1710" w:type="dxa"/>
            <w:shd w:val="clear" w:color="auto" w:fill="365F91" w:themeFill="accent1" w:themeFillShade="BF"/>
            <w:noWrap/>
            <w:vAlign w:val="center"/>
            <w:hideMark/>
          </w:tcPr>
          <w:p w14:paraId="5CD38319" w14:textId="5DF9B418" w:rsidR="007D1A71" w:rsidRPr="00B547AE" w:rsidRDefault="007D1A71" w:rsidP="00B547A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547AE">
              <w:rPr>
                <w:color w:val="FFFFFF" w:themeColor="background1"/>
              </w:rPr>
              <w:t>Contact Hours</w:t>
            </w:r>
          </w:p>
        </w:tc>
        <w:tc>
          <w:tcPr>
            <w:tcW w:w="2797" w:type="dxa"/>
            <w:shd w:val="clear" w:color="auto" w:fill="365F91" w:themeFill="accent1" w:themeFillShade="BF"/>
            <w:noWrap/>
            <w:vAlign w:val="center"/>
            <w:hideMark/>
          </w:tcPr>
          <w:p w14:paraId="39593278" w14:textId="77777777" w:rsidR="007D1A71" w:rsidRPr="00B547AE" w:rsidRDefault="007D1A71" w:rsidP="00B547A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547AE">
              <w:rPr>
                <w:color w:val="FFFFFF" w:themeColor="background1"/>
              </w:rPr>
              <w:t>Universal Activity Number</w:t>
            </w:r>
          </w:p>
        </w:tc>
        <w:tc>
          <w:tcPr>
            <w:tcW w:w="1518" w:type="dxa"/>
            <w:shd w:val="clear" w:color="auto" w:fill="365F91" w:themeFill="accent1" w:themeFillShade="BF"/>
            <w:noWrap/>
            <w:vAlign w:val="center"/>
            <w:hideMark/>
          </w:tcPr>
          <w:p w14:paraId="2DF1FE03" w14:textId="77777777" w:rsidR="007D1A71" w:rsidRPr="00B547AE" w:rsidRDefault="007D1A71" w:rsidP="00B547A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547AE">
              <w:rPr>
                <w:color w:val="FFFFFF" w:themeColor="background1"/>
              </w:rPr>
              <w:t>Activity Type</w:t>
            </w:r>
          </w:p>
        </w:tc>
      </w:tr>
      <w:tr w:rsidR="007D1A71" w:rsidRPr="007D1A71" w14:paraId="4E1FE726" w14:textId="77777777" w:rsidTr="00B547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45" w:type="dxa"/>
            <w:noWrap/>
            <w:hideMark/>
          </w:tcPr>
          <w:p w14:paraId="2202321B" w14:textId="47B61C18" w:rsidR="007D1A71" w:rsidRPr="00B547AE" w:rsidRDefault="00B06077" w:rsidP="00B547AE">
            <w:pPr>
              <w:rPr>
                <w:b w:val="0"/>
                <w:bCs w:val="0"/>
                <w:i/>
                <w:iCs/>
              </w:rPr>
            </w:pPr>
            <w:r w:rsidRPr="00B06077">
              <w:rPr>
                <w:b w:val="0"/>
                <w:bCs w:val="0"/>
                <w:i/>
                <w:iCs/>
              </w:rPr>
              <w:t>To eat or not to eat? Cannabinoid control of food intake and energy metabolism</w:t>
            </w:r>
          </w:p>
        </w:tc>
        <w:tc>
          <w:tcPr>
            <w:tcW w:w="1710" w:type="dxa"/>
            <w:noWrap/>
            <w:hideMark/>
          </w:tcPr>
          <w:p w14:paraId="4948FCEA" w14:textId="0C77C272" w:rsidR="007D1A71" w:rsidRPr="007D1A71" w:rsidRDefault="00B06077" w:rsidP="00B547AE">
            <w:pPr>
              <w:jc w:val="center"/>
              <w:cnfStyle w:val="000000100000" w:firstRow="0" w:lastRow="0" w:firstColumn="0" w:lastColumn="0" w:oddVBand="0" w:evenVBand="0" w:oddHBand="1" w:evenHBand="0" w:firstRowFirstColumn="0" w:firstRowLastColumn="0" w:lastRowFirstColumn="0" w:lastRowLastColumn="0"/>
            </w:pPr>
            <w:r>
              <w:t>1.00</w:t>
            </w:r>
          </w:p>
        </w:tc>
        <w:tc>
          <w:tcPr>
            <w:tcW w:w="2797" w:type="dxa"/>
            <w:noWrap/>
            <w:hideMark/>
          </w:tcPr>
          <w:p w14:paraId="101B8550" w14:textId="5E007B7D" w:rsidR="007D1A71" w:rsidRPr="007D1A71" w:rsidRDefault="00E83DF7" w:rsidP="00B547AE">
            <w:pPr>
              <w:jc w:val="center"/>
              <w:cnfStyle w:val="000000100000" w:firstRow="0" w:lastRow="0" w:firstColumn="0" w:lastColumn="0" w:oddVBand="0" w:evenVBand="0" w:oddHBand="1" w:evenHBand="0" w:firstRowFirstColumn="0" w:firstRowLastColumn="0" w:lastRowFirstColumn="0" w:lastRowLastColumn="0"/>
            </w:pPr>
            <w:r w:rsidRPr="00E83DF7">
              <w:t>0012-9999-26-047-L01-P</w:t>
            </w:r>
          </w:p>
        </w:tc>
        <w:tc>
          <w:tcPr>
            <w:tcW w:w="1518" w:type="dxa"/>
            <w:noWrap/>
            <w:hideMark/>
          </w:tcPr>
          <w:p w14:paraId="0AD5FB8C" w14:textId="77777777" w:rsidR="007D1A71" w:rsidRPr="007D1A71" w:rsidRDefault="007D1A71" w:rsidP="00B547AE">
            <w:pPr>
              <w:jc w:val="center"/>
              <w:cnfStyle w:val="000000100000" w:firstRow="0" w:lastRow="0" w:firstColumn="0" w:lastColumn="0" w:oddVBand="0" w:evenVBand="0" w:oddHBand="1" w:evenHBand="0" w:firstRowFirstColumn="0" w:firstRowLastColumn="0" w:lastRowFirstColumn="0" w:lastRowLastColumn="0"/>
            </w:pPr>
            <w:r w:rsidRPr="007D1A71">
              <w:t>Knowledge</w:t>
            </w:r>
          </w:p>
        </w:tc>
      </w:tr>
      <w:tr w:rsidR="007D1A71" w:rsidRPr="007D1A71" w14:paraId="6A32223C" w14:textId="77777777" w:rsidTr="00B547AE">
        <w:trPr>
          <w:trHeight w:val="300"/>
        </w:trPr>
        <w:tc>
          <w:tcPr>
            <w:cnfStyle w:val="001000000000" w:firstRow="0" w:lastRow="0" w:firstColumn="1" w:lastColumn="0" w:oddVBand="0" w:evenVBand="0" w:oddHBand="0" w:evenHBand="0" w:firstRowFirstColumn="0" w:firstRowLastColumn="0" w:lastRowFirstColumn="0" w:lastRowLastColumn="0"/>
            <w:tcW w:w="4045" w:type="dxa"/>
            <w:noWrap/>
            <w:hideMark/>
          </w:tcPr>
          <w:p w14:paraId="38F38CF9" w14:textId="5F9994CF" w:rsidR="007D1A71" w:rsidRPr="00B547AE" w:rsidRDefault="00B06077" w:rsidP="00B547AE">
            <w:pPr>
              <w:rPr>
                <w:b w:val="0"/>
                <w:bCs w:val="0"/>
                <w:i/>
                <w:iCs/>
              </w:rPr>
            </w:pPr>
            <w:r w:rsidRPr="00B06077">
              <w:rPr>
                <w:b w:val="0"/>
                <w:bCs w:val="0"/>
                <w:i/>
                <w:iCs/>
              </w:rPr>
              <w:t>Tolerance breaks and other forms of controlled cannabis use: Implications for clinical research and practice</w:t>
            </w:r>
          </w:p>
        </w:tc>
        <w:tc>
          <w:tcPr>
            <w:tcW w:w="1710" w:type="dxa"/>
            <w:noWrap/>
            <w:hideMark/>
          </w:tcPr>
          <w:p w14:paraId="72740312" w14:textId="16A15992" w:rsidR="007D1A71" w:rsidRPr="007D1A71" w:rsidRDefault="00B06077" w:rsidP="00B547AE">
            <w:pPr>
              <w:jc w:val="center"/>
              <w:cnfStyle w:val="000000000000" w:firstRow="0" w:lastRow="0" w:firstColumn="0" w:lastColumn="0" w:oddVBand="0" w:evenVBand="0" w:oddHBand="0" w:evenHBand="0" w:firstRowFirstColumn="0" w:firstRowLastColumn="0" w:lastRowFirstColumn="0" w:lastRowLastColumn="0"/>
            </w:pPr>
            <w:r>
              <w:t>1.00</w:t>
            </w:r>
          </w:p>
        </w:tc>
        <w:tc>
          <w:tcPr>
            <w:tcW w:w="2797" w:type="dxa"/>
            <w:noWrap/>
            <w:hideMark/>
          </w:tcPr>
          <w:p w14:paraId="67A6C8D7" w14:textId="7D00E3E0" w:rsidR="007D1A71" w:rsidRPr="007D1A71" w:rsidRDefault="00E83DF7" w:rsidP="00B547AE">
            <w:pPr>
              <w:jc w:val="center"/>
              <w:cnfStyle w:val="000000000000" w:firstRow="0" w:lastRow="0" w:firstColumn="0" w:lastColumn="0" w:oddVBand="0" w:evenVBand="0" w:oddHBand="0" w:evenHBand="0" w:firstRowFirstColumn="0" w:firstRowLastColumn="0" w:lastRowFirstColumn="0" w:lastRowLastColumn="0"/>
            </w:pPr>
            <w:r w:rsidRPr="00E83DF7">
              <w:t>0012-9999-26-048-L01-P</w:t>
            </w:r>
          </w:p>
        </w:tc>
        <w:tc>
          <w:tcPr>
            <w:tcW w:w="1518" w:type="dxa"/>
            <w:noWrap/>
            <w:hideMark/>
          </w:tcPr>
          <w:p w14:paraId="0473D153" w14:textId="77777777" w:rsidR="007D1A71" w:rsidRPr="007D1A71" w:rsidRDefault="007D1A71" w:rsidP="00B547AE">
            <w:pPr>
              <w:jc w:val="center"/>
              <w:cnfStyle w:val="000000000000" w:firstRow="0" w:lastRow="0" w:firstColumn="0" w:lastColumn="0" w:oddVBand="0" w:evenVBand="0" w:oddHBand="0" w:evenHBand="0" w:firstRowFirstColumn="0" w:firstRowLastColumn="0" w:lastRowFirstColumn="0" w:lastRowLastColumn="0"/>
            </w:pPr>
            <w:r w:rsidRPr="007D1A71">
              <w:t>Knowledge</w:t>
            </w:r>
          </w:p>
        </w:tc>
      </w:tr>
      <w:tr w:rsidR="007D1A71" w:rsidRPr="007D1A71" w14:paraId="163BE0F1" w14:textId="77777777" w:rsidTr="00B547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45" w:type="dxa"/>
            <w:noWrap/>
            <w:hideMark/>
          </w:tcPr>
          <w:p w14:paraId="205843C5" w14:textId="7354277C" w:rsidR="007D1A71" w:rsidRPr="00B547AE" w:rsidRDefault="00B06077" w:rsidP="00B547AE">
            <w:pPr>
              <w:rPr>
                <w:b w:val="0"/>
                <w:bCs w:val="0"/>
                <w:i/>
                <w:iCs/>
              </w:rPr>
            </w:pPr>
            <w:r w:rsidRPr="00B06077">
              <w:rPr>
                <w:b w:val="0"/>
                <w:bCs w:val="0"/>
                <w:i/>
                <w:iCs/>
              </w:rPr>
              <w:t>Using behavioral economics to understand cannabis use and misuse</w:t>
            </w:r>
          </w:p>
        </w:tc>
        <w:tc>
          <w:tcPr>
            <w:tcW w:w="1710" w:type="dxa"/>
            <w:noWrap/>
            <w:hideMark/>
          </w:tcPr>
          <w:p w14:paraId="752CAC96" w14:textId="5CD95660" w:rsidR="007D1A71" w:rsidRPr="007D1A71" w:rsidRDefault="007D1A71" w:rsidP="00B547AE">
            <w:pPr>
              <w:jc w:val="center"/>
              <w:cnfStyle w:val="000000100000" w:firstRow="0" w:lastRow="0" w:firstColumn="0" w:lastColumn="0" w:oddVBand="0" w:evenVBand="0" w:oddHBand="1" w:evenHBand="0" w:firstRowFirstColumn="0" w:firstRowLastColumn="0" w:lastRowFirstColumn="0" w:lastRowLastColumn="0"/>
            </w:pPr>
            <w:r w:rsidRPr="007D1A71">
              <w:t>1</w:t>
            </w:r>
            <w:r w:rsidR="00B547AE">
              <w:t>.00</w:t>
            </w:r>
          </w:p>
        </w:tc>
        <w:tc>
          <w:tcPr>
            <w:tcW w:w="2797" w:type="dxa"/>
            <w:noWrap/>
            <w:hideMark/>
          </w:tcPr>
          <w:p w14:paraId="4DE5F665" w14:textId="702961D0" w:rsidR="007D1A71" w:rsidRPr="007D1A71" w:rsidRDefault="00E83DF7" w:rsidP="00B547AE">
            <w:pPr>
              <w:jc w:val="center"/>
              <w:cnfStyle w:val="000000100000" w:firstRow="0" w:lastRow="0" w:firstColumn="0" w:lastColumn="0" w:oddVBand="0" w:evenVBand="0" w:oddHBand="1" w:evenHBand="0" w:firstRowFirstColumn="0" w:firstRowLastColumn="0" w:lastRowFirstColumn="0" w:lastRowLastColumn="0"/>
            </w:pPr>
            <w:r w:rsidRPr="00E83DF7">
              <w:t>0012-9999-26-049-L01-P</w:t>
            </w:r>
          </w:p>
        </w:tc>
        <w:tc>
          <w:tcPr>
            <w:tcW w:w="1518" w:type="dxa"/>
            <w:noWrap/>
            <w:hideMark/>
          </w:tcPr>
          <w:p w14:paraId="0A2A5CEF" w14:textId="77777777" w:rsidR="007D1A71" w:rsidRPr="007D1A71" w:rsidRDefault="007D1A71" w:rsidP="00B547AE">
            <w:pPr>
              <w:jc w:val="center"/>
              <w:cnfStyle w:val="000000100000" w:firstRow="0" w:lastRow="0" w:firstColumn="0" w:lastColumn="0" w:oddVBand="0" w:evenVBand="0" w:oddHBand="1" w:evenHBand="0" w:firstRowFirstColumn="0" w:firstRowLastColumn="0" w:lastRowFirstColumn="0" w:lastRowLastColumn="0"/>
            </w:pPr>
            <w:r w:rsidRPr="007D1A71">
              <w:t>Knowledge</w:t>
            </w:r>
          </w:p>
        </w:tc>
      </w:tr>
    </w:tbl>
    <w:p w14:paraId="791C7312" w14:textId="77777777" w:rsidR="007D1A71" w:rsidRDefault="007D1A71" w:rsidP="007D1A71">
      <w:pPr>
        <w:spacing w:after="80"/>
        <w:ind w:left="115"/>
      </w:pPr>
    </w:p>
    <w:p w14:paraId="0923396A" w14:textId="68086EAC" w:rsidR="00F918CC" w:rsidRDefault="00000000" w:rsidP="00343DD3">
      <w:pPr>
        <w:pStyle w:val="Heading1"/>
        <w:spacing w:after="120"/>
        <w:ind w:left="115"/>
        <w:rPr>
          <w:b w:val="0"/>
          <w:bCs w:val="0"/>
        </w:rPr>
      </w:pPr>
      <w:r>
        <w:t>Program</w:t>
      </w:r>
      <w:r>
        <w:rPr>
          <w:spacing w:val="-6"/>
        </w:rPr>
        <w:t xml:space="preserve"> </w:t>
      </w:r>
      <w:r>
        <w:t xml:space="preserve">Support: </w:t>
      </w:r>
      <w:r w:rsidR="00F918CC">
        <w:rPr>
          <w:b w:val="0"/>
          <w:bCs w:val="0"/>
        </w:rPr>
        <w:t xml:space="preserve">Financial support was obtained for this </w:t>
      </w:r>
      <w:r w:rsidR="00343DD3">
        <w:rPr>
          <w:b w:val="0"/>
          <w:bCs w:val="0"/>
        </w:rPr>
        <w:t>activity</w:t>
      </w:r>
      <w:r w:rsidR="00343DD3" w:rsidRPr="00B547AE">
        <w:rPr>
          <w:b w:val="0"/>
          <w:bCs w:val="0"/>
        </w:rPr>
        <w:t>.</w:t>
      </w:r>
      <w:r w:rsidR="00343DD3">
        <w:rPr>
          <w:b w:val="0"/>
          <w:bCs w:val="0"/>
        </w:rPr>
        <w:t xml:space="preserve"> </w:t>
      </w:r>
    </w:p>
    <w:tbl>
      <w:tblPr>
        <w:tblStyle w:val="PlainTable1"/>
        <w:tblW w:w="10075" w:type="dxa"/>
        <w:tblLook w:val="04A0" w:firstRow="1" w:lastRow="0" w:firstColumn="1" w:lastColumn="0" w:noHBand="0" w:noVBand="1"/>
      </w:tblPr>
      <w:tblGrid>
        <w:gridCol w:w="2965"/>
        <w:gridCol w:w="4230"/>
        <w:gridCol w:w="2880"/>
      </w:tblGrid>
      <w:tr w:rsidR="00F918CC" w:rsidRPr="007D1A71" w14:paraId="581F0007" w14:textId="77777777" w:rsidTr="00F918C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5" w:type="dxa"/>
            <w:shd w:val="clear" w:color="auto" w:fill="365F91" w:themeFill="accent1" w:themeFillShade="BF"/>
            <w:noWrap/>
            <w:vAlign w:val="center"/>
            <w:hideMark/>
          </w:tcPr>
          <w:p w14:paraId="3E9B8435" w14:textId="34BD398F" w:rsidR="00F918CC" w:rsidRPr="00B547AE" w:rsidRDefault="00F918CC" w:rsidP="00681751">
            <w:pPr>
              <w:jc w:val="center"/>
              <w:rPr>
                <w:color w:val="FFFFFF" w:themeColor="background1"/>
              </w:rPr>
            </w:pPr>
            <w:r>
              <w:rPr>
                <w:color w:val="FFFFFF" w:themeColor="background1"/>
              </w:rPr>
              <w:t>Name of Supporter</w:t>
            </w:r>
          </w:p>
        </w:tc>
        <w:tc>
          <w:tcPr>
            <w:tcW w:w="4230" w:type="dxa"/>
            <w:shd w:val="clear" w:color="auto" w:fill="365F91" w:themeFill="accent1" w:themeFillShade="BF"/>
            <w:noWrap/>
            <w:vAlign w:val="center"/>
            <w:hideMark/>
          </w:tcPr>
          <w:p w14:paraId="6F2BB68C" w14:textId="7F89B4DD" w:rsidR="00F918CC" w:rsidRPr="00B547AE" w:rsidRDefault="00F918CC"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Commercial or Non-Commercial Supporter</w:t>
            </w:r>
          </w:p>
        </w:tc>
        <w:tc>
          <w:tcPr>
            <w:tcW w:w="2880" w:type="dxa"/>
            <w:shd w:val="clear" w:color="auto" w:fill="365F91" w:themeFill="accent1" w:themeFillShade="BF"/>
            <w:noWrap/>
            <w:vAlign w:val="center"/>
            <w:hideMark/>
          </w:tcPr>
          <w:p w14:paraId="7B071C21" w14:textId="5B3338D0" w:rsidR="00F918CC" w:rsidRPr="00B547AE" w:rsidRDefault="00F918CC"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918CC">
              <w:rPr>
                <w:color w:val="FFFFFF" w:themeColor="background1"/>
              </w:rPr>
              <w:t>Funding or In-Kind Donation</w:t>
            </w:r>
          </w:p>
        </w:tc>
      </w:tr>
      <w:tr w:rsidR="00F918CC" w:rsidRPr="007D1A71" w14:paraId="082A207A" w14:textId="77777777" w:rsidTr="00F918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3850F119" w14:textId="18EE7132" w:rsidR="00F918CC" w:rsidRPr="00B06077" w:rsidRDefault="00D24EE8" w:rsidP="00681751">
            <w:pPr>
              <w:rPr>
                <w:b w:val="0"/>
                <w:bCs w:val="0"/>
              </w:rPr>
            </w:pPr>
            <w:r>
              <w:rPr>
                <w:b w:val="0"/>
                <w:bCs w:val="0"/>
              </w:rPr>
              <w:t>State of Florida</w:t>
            </w:r>
          </w:p>
        </w:tc>
        <w:tc>
          <w:tcPr>
            <w:tcW w:w="4230" w:type="dxa"/>
            <w:noWrap/>
            <w:hideMark/>
          </w:tcPr>
          <w:p w14:paraId="143E1CC8" w14:textId="2599A05C" w:rsidR="00F918CC" w:rsidRPr="007D1A71" w:rsidRDefault="00F918CC" w:rsidP="00681751">
            <w:pPr>
              <w:jc w:val="center"/>
              <w:cnfStyle w:val="000000100000" w:firstRow="0" w:lastRow="0" w:firstColumn="0" w:lastColumn="0" w:oddVBand="0" w:evenVBand="0" w:oddHBand="1" w:evenHBand="0" w:firstRowFirstColumn="0" w:firstRowLastColumn="0" w:lastRowFirstColumn="0" w:lastRowLastColumn="0"/>
            </w:pPr>
            <w:r>
              <w:t>Non-Commercial</w:t>
            </w:r>
          </w:p>
        </w:tc>
        <w:tc>
          <w:tcPr>
            <w:tcW w:w="2880" w:type="dxa"/>
            <w:noWrap/>
            <w:hideMark/>
          </w:tcPr>
          <w:p w14:paraId="2DE2F02F" w14:textId="02D05169" w:rsidR="00F918CC" w:rsidRPr="007D1A71" w:rsidRDefault="00F918CC" w:rsidP="00681751">
            <w:pPr>
              <w:jc w:val="center"/>
              <w:cnfStyle w:val="000000100000" w:firstRow="0" w:lastRow="0" w:firstColumn="0" w:lastColumn="0" w:oddVBand="0" w:evenVBand="0" w:oddHBand="1" w:evenHBand="0" w:firstRowFirstColumn="0" w:firstRowLastColumn="0" w:lastRowFirstColumn="0" w:lastRowLastColumn="0"/>
            </w:pPr>
            <w:r>
              <w:t>Funding</w:t>
            </w:r>
          </w:p>
        </w:tc>
      </w:tr>
      <w:tr w:rsidR="00F918CC" w:rsidRPr="007D1A71" w14:paraId="51AE0349" w14:textId="77777777" w:rsidTr="00F918CC">
        <w:trPr>
          <w:trHeight w:val="30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4DCB699D" w14:textId="77777777" w:rsidR="00343DD3" w:rsidRPr="00B06077" w:rsidRDefault="00343DD3" w:rsidP="00343DD3">
            <w:pPr>
              <w:rPr>
                <w:b w:val="0"/>
                <w:bCs w:val="0"/>
              </w:rPr>
            </w:pPr>
            <w:r w:rsidRPr="00B06077">
              <w:rPr>
                <w:b w:val="0"/>
                <w:bCs w:val="0"/>
              </w:rPr>
              <w:t>CITI Program</w:t>
            </w:r>
          </w:p>
          <w:p w14:paraId="7D72769C" w14:textId="0F9F92C4" w:rsidR="00F918CC" w:rsidRPr="00B06077" w:rsidRDefault="00343DD3" w:rsidP="00343DD3">
            <w:pPr>
              <w:rPr>
                <w:b w:val="0"/>
                <w:bCs w:val="0"/>
              </w:rPr>
            </w:pPr>
            <w:r w:rsidRPr="00B06077">
              <w:rPr>
                <w:b w:val="0"/>
                <w:bCs w:val="0"/>
              </w:rPr>
              <w:t>The Collaborative Institutional Training Initiative</w:t>
            </w:r>
          </w:p>
        </w:tc>
        <w:tc>
          <w:tcPr>
            <w:tcW w:w="4230" w:type="dxa"/>
            <w:noWrap/>
            <w:hideMark/>
          </w:tcPr>
          <w:p w14:paraId="2B3D4266" w14:textId="4F844F7A" w:rsidR="00F918CC" w:rsidRPr="007D1A71" w:rsidRDefault="00343DD3" w:rsidP="00681751">
            <w:pPr>
              <w:jc w:val="center"/>
              <w:cnfStyle w:val="000000000000" w:firstRow="0" w:lastRow="0" w:firstColumn="0" w:lastColumn="0" w:oddVBand="0" w:evenVBand="0" w:oddHBand="0" w:evenHBand="0" w:firstRowFirstColumn="0" w:firstRowLastColumn="0" w:lastRowFirstColumn="0" w:lastRowLastColumn="0"/>
            </w:pPr>
            <w:r>
              <w:t>Non-Commercial</w:t>
            </w:r>
          </w:p>
        </w:tc>
        <w:tc>
          <w:tcPr>
            <w:tcW w:w="2880" w:type="dxa"/>
            <w:noWrap/>
            <w:hideMark/>
          </w:tcPr>
          <w:p w14:paraId="6829031E" w14:textId="31DF52D7" w:rsidR="00F918CC" w:rsidRPr="007D1A71" w:rsidRDefault="00F918CC" w:rsidP="00681751">
            <w:pPr>
              <w:jc w:val="center"/>
              <w:cnfStyle w:val="000000000000" w:firstRow="0" w:lastRow="0" w:firstColumn="0" w:lastColumn="0" w:oddVBand="0" w:evenVBand="0" w:oddHBand="0" w:evenHBand="0" w:firstRowFirstColumn="0" w:firstRowLastColumn="0" w:lastRowFirstColumn="0" w:lastRowLastColumn="0"/>
            </w:pPr>
            <w:r>
              <w:t>Funding</w:t>
            </w:r>
          </w:p>
        </w:tc>
      </w:tr>
      <w:tr w:rsidR="00DF667A" w:rsidRPr="007D1A71" w14:paraId="3F9C3E22" w14:textId="77777777" w:rsidTr="00F918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5" w:type="dxa"/>
            <w:noWrap/>
          </w:tcPr>
          <w:p w14:paraId="55A67090" w14:textId="7A68308F" w:rsidR="00DF667A" w:rsidRPr="00DF667A" w:rsidRDefault="00DF667A" w:rsidP="00343DD3">
            <w:pPr>
              <w:rPr>
                <w:b w:val="0"/>
                <w:bCs w:val="0"/>
              </w:rPr>
            </w:pPr>
            <w:r w:rsidRPr="00DF667A">
              <w:rPr>
                <w:b w:val="0"/>
                <w:bCs w:val="0"/>
              </w:rPr>
              <w:t>Tikun Olam</w:t>
            </w:r>
          </w:p>
        </w:tc>
        <w:tc>
          <w:tcPr>
            <w:tcW w:w="4230" w:type="dxa"/>
            <w:noWrap/>
          </w:tcPr>
          <w:p w14:paraId="6D392831" w14:textId="0F1616A1" w:rsidR="00DF667A" w:rsidRDefault="00DF667A" w:rsidP="00681751">
            <w:pPr>
              <w:jc w:val="center"/>
              <w:cnfStyle w:val="000000100000" w:firstRow="0" w:lastRow="0" w:firstColumn="0" w:lastColumn="0" w:oddVBand="0" w:evenVBand="0" w:oddHBand="1" w:evenHBand="0" w:firstRowFirstColumn="0" w:firstRowLastColumn="0" w:lastRowFirstColumn="0" w:lastRowLastColumn="0"/>
            </w:pPr>
            <w:r>
              <w:t>Commercial</w:t>
            </w:r>
          </w:p>
        </w:tc>
        <w:tc>
          <w:tcPr>
            <w:tcW w:w="2880" w:type="dxa"/>
            <w:noWrap/>
          </w:tcPr>
          <w:p w14:paraId="44C7C9F9" w14:textId="6E4C133B" w:rsidR="00DF667A" w:rsidRDefault="00DF667A" w:rsidP="00681751">
            <w:pPr>
              <w:jc w:val="center"/>
              <w:cnfStyle w:val="000000100000" w:firstRow="0" w:lastRow="0" w:firstColumn="0" w:lastColumn="0" w:oddVBand="0" w:evenVBand="0" w:oddHBand="1" w:evenHBand="0" w:firstRowFirstColumn="0" w:firstRowLastColumn="0" w:lastRowFirstColumn="0" w:lastRowLastColumn="0"/>
            </w:pPr>
            <w:r>
              <w:t>Funding</w:t>
            </w:r>
          </w:p>
        </w:tc>
      </w:tr>
    </w:tbl>
    <w:p w14:paraId="4ACF1ACA" w14:textId="77777777" w:rsidR="00343DD3" w:rsidRPr="00B547AE" w:rsidRDefault="00343DD3" w:rsidP="00343DD3"/>
    <w:p w14:paraId="6DC9AE02" w14:textId="1EB4C725" w:rsidR="00AA1143" w:rsidRDefault="00000000" w:rsidP="00343DD3">
      <w:pPr>
        <w:pStyle w:val="Heading1"/>
        <w:spacing w:after="120"/>
        <w:ind w:left="115"/>
        <w:rPr>
          <w:b w:val="0"/>
          <w:bCs w:val="0"/>
        </w:rPr>
      </w:pPr>
      <w:r w:rsidRPr="00B547AE">
        <w:t>Disclosure:</w:t>
      </w:r>
      <w:r w:rsidRPr="00B547AE">
        <w:rPr>
          <w:spacing w:val="-3"/>
        </w:rPr>
        <w:t xml:space="preserve"> </w:t>
      </w:r>
      <w:r w:rsidR="00B547AE" w:rsidRPr="00B547AE">
        <w:rPr>
          <w:b w:val="0"/>
          <w:bCs w:val="0"/>
        </w:rPr>
        <w:t>The University of Florida College of Pharmacy Office of Continuing Pharmacy Education adheres to the ACPE’s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 defined as any entity whose primary business is producing, marketing, selling, re-selling, or distributing healthcare products used by or on patients. All relevant conflicts of interest have been mitigated prior to the commencement of the activity.</w:t>
      </w:r>
    </w:p>
    <w:tbl>
      <w:tblPr>
        <w:tblStyle w:val="PlainTable1"/>
        <w:tblW w:w="10075" w:type="dxa"/>
        <w:tblLook w:val="04A0" w:firstRow="1" w:lastRow="0" w:firstColumn="1" w:lastColumn="0" w:noHBand="0" w:noVBand="1"/>
      </w:tblPr>
      <w:tblGrid>
        <w:gridCol w:w="3595"/>
        <w:gridCol w:w="3420"/>
        <w:gridCol w:w="3060"/>
      </w:tblGrid>
      <w:tr w:rsidR="00343DD3" w:rsidRPr="007D1A71" w14:paraId="7B61B429" w14:textId="77777777" w:rsidTr="00343DD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shd w:val="clear" w:color="auto" w:fill="365F91" w:themeFill="accent1" w:themeFillShade="BF"/>
            <w:noWrap/>
            <w:vAlign w:val="center"/>
            <w:hideMark/>
          </w:tcPr>
          <w:p w14:paraId="37B201E7" w14:textId="70C63EE6" w:rsidR="00343DD3" w:rsidRPr="00B547AE" w:rsidRDefault="00343DD3" w:rsidP="00681751">
            <w:pPr>
              <w:jc w:val="center"/>
              <w:rPr>
                <w:color w:val="FFFFFF" w:themeColor="background1"/>
              </w:rPr>
            </w:pPr>
            <w:r>
              <w:rPr>
                <w:color w:val="FFFFFF" w:themeColor="background1"/>
              </w:rPr>
              <w:t>Name of Individual</w:t>
            </w:r>
          </w:p>
        </w:tc>
        <w:tc>
          <w:tcPr>
            <w:tcW w:w="3420" w:type="dxa"/>
            <w:shd w:val="clear" w:color="auto" w:fill="365F91" w:themeFill="accent1" w:themeFillShade="BF"/>
            <w:noWrap/>
            <w:vAlign w:val="center"/>
            <w:hideMark/>
          </w:tcPr>
          <w:p w14:paraId="42FFC938" w14:textId="5E1DA913" w:rsidR="00343DD3" w:rsidRPr="00B547AE" w:rsidRDefault="00343DD3"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Individual’s Role in Activity</w:t>
            </w:r>
          </w:p>
        </w:tc>
        <w:tc>
          <w:tcPr>
            <w:tcW w:w="3060" w:type="dxa"/>
            <w:shd w:val="clear" w:color="auto" w:fill="365F91" w:themeFill="accent1" w:themeFillShade="BF"/>
            <w:noWrap/>
            <w:vAlign w:val="center"/>
            <w:hideMark/>
          </w:tcPr>
          <w:p w14:paraId="69D73C10" w14:textId="479D19AC" w:rsidR="00343DD3" w:rsidRPr="00B547AE" w:rsidRDefault="00343DD3"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343DD3">
              <w:rPr>
                <w:color w:val="FFFFFF" w:themeColor="background1"/>
              </w:rPr>
              <w:t>Nature of Relationship(s) / Name of Ineligible Company(s)</w:t>
            </w:r>
          </w:p>
        </w:tc>
      </w:tr>
      <w:tr w:rsidR="00343DD3" w:rsidRPr="007D1A71" w14:paraId="277DFEE3"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hideMark/>
          </w:tcPr>
          <w:p w14:paraId="6E498041" w14:textId="544EAB8E" w:rsidR="00343DD3" w:rsidRPr="00B06077" w:rsidRDefault="00343DD3" w:rsidP="00681751">
            <w:pPr>
              <w:rPr>
                <w:b w:val="0"/>
                <w:bCs w:val="0"/>
              </w:rPr>
            </w:pPr>
            <w:r w:rsidRPr="00B06077">
              <w:rPr>
                <w:b w:val="0"/>
                <w:bCs w:val="0"/>
              </w:rPr>
              <w:t>Amie Goodin, PhD</w:t>
            </w:r>
          </w:p>
        </w:tc>
        <w:tc>
          <w:tcPr>
            <w:tcW w:w="3420" w:type="dxa"/>
            <w:noWrap/>
            <w:hideMark/>
          </w:tcPr>
          <w:p w14:paraId="14CA30A2" w14:textId="156595CA"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Co-Director</w:t>
            </w:r>
          </w:p>
        </w:tc>
        <w:tc>
          <w:tcPr>
            <w:tcW w:w="3060" w:type="dxa"/>
            <w:noWrap/>
            <w:hideMark/>
          </w:tcPr>
          <w:p w14:paraId="2BB8636F" w14:textId="572CFBAA"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Nothing to disclose</w:t>
            </w:r>
          </w:p>
        </w:tc>
      </w:tr>
      <w:tr w:rsidR="00343DD3" w:rsidRPr="007D1A71" w14:paraId="7D446D1C" w14:textId="77777777" w:rsidTr="00343DD3">
        <w:trPr>
          <w:trHeight w:val="300"/>
        </w:trPr>
        <w:tc>
          <w:tcPr>
            <w:cnfStyle w:val="001000000000" w:firstRow="0" w:lastRow="0" w:firstColumn="1" w:lastColumn="0" w:oddVBand="0" w:evenVBand="0" w:oddHBand="0" w:evenHBand="0" w:firstRowFirstColumn="0" w:firstRowLastColumn="0" w:lastRowFirstColumn="0" w:lastRowLastColumn="0"/>
            <w:tcW w:w="3595" w:type="dxa"/>
            <w:noWrap/>
            <w:hideMark/>
          </w:tcPr>
          <w:p w14:paraId="27A81C97" w14:textId="548F72F3" w:rsidR="00343DD3" w:rsidRPr="00B06077" w:rsidRDefault="00343DD3" w:rsidP="00681751">
            <w:pPr>
              <w:rPr>
                <w:b w:val="0"/>
                <w:bCs w:val="0"/>
              </w:rPr>
            </w:pPr>
            <w:r w:rsidRPr="00B06077">
              <w:rPr>
                <w:b w:val="0"/>
                <w:bCs w:val="0"/>
              </w:rPr>
              <w:t>Almut Winterstein, PharmD, PhD</w:t>
            </w:r>
          </w:p>
        </w:tc>
        <w:tc>
          <w:tcPr>
            <w:tcW w:w="3420" w:type="dxa"/>
            <w:noWrap/>
            <w:hideMark/>
          </w:tcPr>
          <w:p w14:paraId="775D8353" w14:textId="29C1191C" w:rsidR="00343DD3" w:rsidRPr="007D1A71" w:rsidRDefault="00343DD3" w:rsidP="00681751">
            <w:pPr>
              <w:jc w:val="center"/>
              <w:cnfStyle w:val="000000000000" w:firstRow="0" w:lastRow="0" w:firstColumn="0" w:lastColumn="0" w:oddVBand="0" w:evenVBand="0" w:oddHBand="0" w:evenHBand="0" w:firstRowFirstColumn="0" w:firstRowLastColumn="0" w:lastRowFirstColumn="0" w:lastRowLastColumn="0"/>
            </w:pPr>
            <w:r>
              <w:t>Co-Director</w:t>
            </w:r>
          </w:p>
        </w:tc>
        <w:tc>
          <w:tcPr>
            <w:tcW w:w="3060" w:type="dxa"/>
            <w:noWrap/>
            <w:hideMark/>
          </w:tcPr>
          <w:p w14:paraId="59840960" w14:textId="569B050D" w:rsidR="00343DD3" w:rsidRPr="007D1A71" w:rsidRDefault="005E4998" w:rsidP="00681751">
            <w:pPr>
              <w:jc w:val="center"/>
              <w:cnfStyle w:val="000000000000" w:firstRow="0" w:lastRow="0" w:firstColumn="0" w:lastColumn="0" w:oddVBand="0" w:evenVBand="0" w:oddHBand="0" w:evenHBand="0" w:firstRowFirstColumn="0" w:firstRowLastColumn="0" w:lastRowFirstColumn="0" w:lastRowLastColumn="0"/>
            </w:pPr>
            <w:r w:rsidRPr="005E4998">
              <w:t>Grant or research support-Merck</w:t>
            </w:r>
          </w:p>
        </w:tc>
      </w:tr>
      <w:tr w:rsidR="00343DD3" w:rsidRPr="007D1A71" w14:paraId="14A6EA62"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hideMark/>
          </w:tcPr>
          <w:p w14:paraId="451AC1A2" w14:textId="6A1741F8" w:rsidR="00343DD3" w:rsidRPr="00B06077" w:rsidRDefault="00343DD3" w:rsidP="00681751">
            <w:pPr>
              <w:rPr>
                <w:b w:val="0"/>
                <w:bCs w:val="0"/>
              </w:rPr>
            </w:pPr>
            <w:r w:rsidRPr="00B06077">
              <w:rPr>
                <w:b w:val="0"/>
                <w:bCs w:val="0"/>
              </w:rPr>
              <w:t>Allison Veliz, MA</w:t>
            </w:r>
          </w:p>
        </w:tc>
        <w:tc>
          <w:tcPr>
            <w:tcW w:w="3420" w:type="dxa"/>
            <w:noWrap/>
            <w:hideMark/>
          </w:tcPr>
          <w:p w14:paraId="2E83446F" w14:textId="2057886F"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Planning Committee Member</w:t>
            </w:r>
          </w:p>
        </w:tc>
        <w:tc>
          <w:tcPr>
            <w:tcW w:w="3060" w:type="dxa"/>
            <w:noWrap/>
            <w:hideMark/>
          </w:tcPr>
          <w:p w14:paraId="7CE53554" w14:textId="491B60B3"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Nothing to disclose</w:t>
            </w:r>
          </w:p>
        </w:tc>
      </w:tr>
      <w:tr w:rsidR="00B06077" w:rsidRPr="007D1A71" w14:paraId="06E73FC1" w14:textId="77777777" w:rsidTr="00343DD3">
        <w:trPr>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3233A520" w14:textId="3CA07459" w:rsidR="00B06077" w:rsidRPr="00B06077" w:rsidRDefault="00B06077" w:rsidP="00B06077">
            <w:pPr>
              <w:rPr>
                <w:b w:val="0"/>
                <w:bCs w:val="0"/>
              </w:rPr>
            </w:pPr>
            <w:r w:rsidRPr="00B06077">
              <w:rPr>
                <w:b w:val="0"/>
                <w:bCs w:val="0"/>
              </w:rPr>
              <w:t>Jeevan Jyot, PhD, PMP</w:t>
            </w:r>
          </w:p>
        </w:tc>
        <w:tc>
          <w:tcPr>
            <w:tcW w:w="3420" w:type="dxa"/>
            <w:noWrap/>
          </w:tcPr>
          <w:p w14:paraId="02527EDE" w14:textId="729C4063" w:rsidR="00B06077" w:rsidRDefault="00B06077" w:rsidP="00B06077">
            <w:pPr>
              <w:jc w:val="center"/>
              <w:cnfStyle w:val="000000000000" w:firstRow="0" w:lastRow="0" w:firstColumn="0" w:lastColumn="0" w:oddVBand="0" w:evenVBand="0" w:oddHBand="0" w:evenHBand="0" w:firstRowFirstColumn="0" w:firstRowLastColumn="0" w:lastRowFirstColumn="0" w:lastRowLastColumn="0"/>
            </w:pPr>
            <w:r>
              <w:t>Activity Coordinator</w:t>
            </w:r>
          </w:p>
        </w:tc>
        <w:tc>
          <w:tcPr>
            <w:tcW w:w="3060" w:type="dxa"/>
            <w:noWrap/>
          </w:tcPr>
          <w:p w14:paraId="31D9ADA4" w14:textId="6F5F0FCC" w:rsidR="00B06077" w:rsidRDefault="00B06077" w:rsidP="00B06077">
            <w:pPr>
              <w:jc w:val="center"/>
              <w:cnfStyle w:val="000000000000" w:firstRow="0" w:lastRow="0" w:firstColumn="0" w:lastColumn="0" w:oddVBand="0" w:evenVBand="0" w:oddHBand="0" w:evenHBand="0" w:firstRowFirstColumn="0" w:firstRowLastColumn="0" w:lastRowFirstColumn="0" w:lastRowLastColumn="0"/>
            </w:pPr>
            <w:r>
              <w:t>Nothing to disclose</w:t>
            </w:r>
          </w:p>
        </w:tc>
      </w:tr>
      <w:tr w:rsidR="00B06077" w:rsidRPr="007D1A71" w14:paraId="73B5B41E"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4CA11951" w14:textId="7CFE02C6" w:rsidR="00B06077" w:rsidRPr="00B06077" w:rsidRDefault="00B06077" w:rsidP="00B06077">
            <w:pPr>
              <w:rPr>
                <w:b w:val="0"/>
                <w:bCs w:val="0"/>
              </w:rPr>
            </w:pPr>
            <w:r w:rsidRPr="00B06077">
              <w:rPr>
                <w:b w:val="0"/>
                <w:bCs w:val="0"/>
              </w:rPr>
              <w:t>Nicholas Dipatrizio, PhD</w:t>
            </w:r>
          </w:p>
        </w:tc>
        <w:tc>
          <w:tcPr>
            <w:tcW w:w="3420" w:type="dxa"/>
            <w:noWrap/>
          </w:tcPr>
          <w:p w14:paraId="5B55284B" w14:textId="7EE8E40A" w:rsidR="00B06077" w:rsidRDefault="00B06077" w:rsidP="00B06077">
            <w:pPr>
              <w:jc w:val="center"/>
              <w:cnfStyle w:val="000000100000" w:firstRow="0" w:lastRow="0" w:firstColumn="0" w:lastColumn="0" w:oddVBand="0" w:evenVBand="0" w:oddHBand="1" w:evenHBand="0" w:firstRowFirstColumn="0" w:firstRowLastColumn="0" w:lastRowFirstColumn="0" w:lastRowLastColumn="0"/>
            </w:pPr>
            <w:r>
              <w:t>Speaker</w:t>
            </w:r>
          </w:p>
        </w:tc>
        <w:tc>
          <w:tcPr>
            <w:tcW w:w="3060" w:type="dxa"/>
            <w:noWrap/>
          </w:tcPr>
          <w:p w14:paraId="6CF7A65A" w14:textId="7713268E" w:rsidR="00B06077" w:rsidRDefault="0058060A" w:rsidP="00B06077">
            <w:pPr>
              <w:jc w:val="center"/>
              <w:cnfStyle w:val="000000100000" w:firstRow="0" w:lastRow="0" w:firstColumn="0" w:lastColumn="0" w:oddVBand="0" w:evenVBand="0" w:oddHBand="1" w:evenHBand="0" w:firstRowFirstColumn="0" w:firstRowLastColumn="0" w:lastRowFirstColumn="0" w:lastRowLastColumn="0"/>
            </w:pPr>
            <w:r>
              <w:t>Nothing to disclose</w:t>
            </w:r>
          </w:p>
        </w:tc>
      </w:tr>
      <w:tr w:rsidR="00B06077" w:rsidRPr="007D1A71" w14:paraId="43365F58" w14:textId="77777777" w:rsidTr="00343DD3">
        <w:trPr>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0407393A" w14:textId="2A02BF1C" w:rsidR="00B06077" w:rsidRPr="00B06077" w:rsidRDefault="00B06077" w:rsidP="00B06077">
            <w:pPr>
              <w:rPr>
                <w:b w:val="0"/>
                <w:bCs w:val="0"/>
              </w:rPr>
            </w:pPr>
            <w:r w:rsidRPr="00B06077">
              <w:rPr>
                <w:b w:val="0"/>
                <w:bCs w:val="0"/>
              </w:rPr>
              <w:t>Stephen Lankenau, PhD</w:t>
            </w:r>
          </w:p>
        </w:tc>
        <w:tc>
          <w:tcPr>
            <w:tcW w:w="3420" w:type="dxa"/>
            <w:noWrap/>
          </w:tcPr>
          <w:p w14:paraId="242B1DF8" w14:textId="4C1775B1" w:rsidR="00B06077" w:rsidRDefault="00B06077" w:rsidP="00B06077">
            <w:pPr>
              <w:jc w:val="center"/>
              <w:cnfStyle w:val="000000000000" w:firstRow="0" w:lastRow="0" w:firstColumn="0" w:lastColumn="0" w:oddVBand="0" w:evenVBand="0" w:oddHBand="0" w:evenHBand="0" w:firstRowFirstColumn="0" w:firstRowLastColumn="0" w:lastRowFirstColumn="0" w:lastRowLastColumn="0"/>
            </w:pPr>
            <w:r>
              <w:t>Speaker</w:t>
            </w:r>
          </w:p>
        </w:tc>
        <w:tc>
          <w:tcPr>
            <w:tcW w:w="3060" w:type="dxa"/>
            <w:noWrap/>
          </w:tcPr>
          <w:p w14:paraId="252979E7" w14:textId="2A440194" w:rsidR="00B06077" w:rsidRDefault="0058060A" w:rsidP="00B06077">
            <w:pPr>
              <w:jc w:val="center"/>
              <w:cnfStyle w:val="000000000000" w:firstRow="0" w:lastRow="0" w:firstColumn="0" w:lastColumn="0" w:oddVBand="0" w:evenVBand="0" w:oddHBand="0" w:evenHBand="0" w:firstRowFirstColumn="0" w:firstRowLastColumn="0" w:lastRowFirstColumn="0" w:lastRowLastColumn="0"/>
            </w:pPr>
            <w:r w:rsidRPr="0058060A">
              <w:t>Grant or research support-Verano</w:t>
            </w:r>
          </w:p>
        </w:tc>
      </w:tr>
      <w:tr w:rsidR="00B06077" w:rsidRPr="007D1A71" w14:paraId="4B2F2FFE"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16006DA1" w14:textId="028118B8" w:rsidR="00B06077" w:rsidRPr="00B06077" w:rsidRDefault="00B06077" w:rsidP="00B06077">
            <w:pPr>
              <w:rPr>
                <w:b w:val="0"/>
                <w:bCs w:val="0"/>
              </w:rPr>
            </w:pPr>
            <w:r w:rsidRPr="00B06077">
              <w:rPr>
                <w:b w:val="0"/>
                <w:bCs w:val="0"/>
              </w:rPr>
              <w:t>James MacKillop, PhD</w:t>
            </w:r>
          </w:p>
        </w:tc>
        <w:tc>
          <w:tcPr>
            <w:tcW w:w="3420" w:type="dxa"/>
            <w:noWrap/>
          </w:tcPr>
          <w:p w14:paraId="297A6B78" w14:textId="7D989058" w:rsidR="00B06077" w:rsidRDefault="00B06077" w:rsidP="00B06077">
            <w:pPr>
              <w:jc w:val="center"/>
              <w:cnfStyle w:val="000000100000" w:firstRow="0" w:lastRow="0" w:firstColumn="0" w:lastColumn="0" w:oddVBand="0" w:evenVBand="0" w:oddHBand="1" w:evenHBand="0" w:firstRowFirstColumn="0" w:firstRowLastColumn="0" w:lastRowFirstColumn="0" w:lastRowLastColumn="0"/>
            </w:pPr>
            <w:r>
              <w:t>Speaker</w:t>
            </w:r>
          </w:p>
        </w:tc>
        <w:tc>
          <w:tcPr>
            <w:tcW w:w="3060" w:type="dxa"/>
            <w:noWrap/>
          </w:tcPr>
          <w:p w14:paraId="587993FD" w14:textId="62421D2D" w:rsidR="00B06077" w:rsidRDefault="0058060A" w:rsidP="00B06077">
            <w:pPr>
              <w:jc w:val="center"/>
              <w:cnfStyle w:val="000000100000" w:firstRow="0" w:lastRow="0" w:firstColumn="0" w:lastColumn="0" w:oddVBand="0" w:evenVBand="0" w:oddHBand="1" w:evenHBand="0" w:firstRowFirstColumn="0" w:firstRowLastColumn="0" w:lastRowFirstColumn="0" w:lastRowLastColumn="0"/>
            </w:pPr>
            <w:r>
              <w:t>Nothing to disclose</w:t>
            </w:r>
          </w:p>
        </w:tc>
      </w:tr>
    </w:tbl>
    <w:p w14:paraId="3555CD4E" w14:textId="77777777" w:rsidR="00343DD3" w:rsidRDefault="00343DD3" w:rsidP="00B06077"/>
    <w:p w14:paraId="0EED7123" w14:textId="6D741713" w:rsidR="008F02F8" w:rsidRPr="008F02F8" w:rsidRDefault="008F02F8" w:rsidP="00676935">
      <w:pPr>
        <w:pStyle w:val="Heading1"/>
        <w:spacing w:before="240"/>
        <w:ind w:left="115"/>
      </w:pPr>
      <w:r w:rsidRPr="00A11A8A">
        <w:t>Policy on Privacy and Confidentiality:</w:t>
      </w:r>
      <w:r>
        <w:t xml:space="preserve"> </w:t>
      </w:r>
      <w:r w:rsidRPr="00676935">
        <w:rPr>
          <w:b w:val="0"/>
          <w:bCs w:val="0"/>
        </w:rPr>
        <w:t xml:space="preserve">The University of Florida’s policies on privacy and confidentiality may be viewed online at </w:t>
      </w:r>
      <w:hyperlink r:id="rId11" w:history="1">
        <w:r w:rsidRPr="00676935">
          <w:rPr>
            <w:rStyle w:val="Hyperlink"/>
            <w:b w:val="0"/>
            <w:bCs w:val="0"/>
          </w:rPr>
          <w:t>https://privacy.ufl.edu/policies/</w:t>
        </w:r>
      </w:hyperlink>
      <w:r w:rsidRPr="00676935">
        <w:rPr>
          <w:b w:val="0"/>
          <w:bCs w:val="0"/>
        </w:rPr>
        <w:t>.</w:t>
      </w:r>
    </w:p>
    <w:p w14:paraId="3671DDE1" w14:textId="09B2AF4E" w:rsidR="005F69C8" w:rsidRDefault="005F69C8" w:rsidP="00676935">
      <w:pPr>
        <w:pStyle w:val="Heading1"/>
        <w:spacing w:before="240"/>
        <w:ind w:left="115"/>
      </w:pPr>
      <w:r w:rsidRPr="005F69C8">
        <w:t>Contact Information:</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5"/>
        <w:gridCol w:w="4140"/>
      </w:tblGrid>
      <w:tr w:rsidR="005F69C8" w14:paraId="6D47CC3E" w14:textId="77777777" w:rsidTr="00B06077">
        <w:tc>
          <w:tcPr>
            <w:tcW w:w="5825" w:type="dxa"/>
          </w:tcPr>
          <w:p w14:paraId="301FA64A" w14:textId="77777777" w:rsidR="00B06077" w:rsidRPr="00B06077" w:rsidRDefault="00B06077" w:rsidP="00B06077">
            <w:pPr>
              <w:spacing w:before="160"/>
              <w:rPr>
                <w:b/>
                <w:bCs/>
              </w:rPr>
            </w:pPr>
            <w:r w:rsidRPr="00B06077">
              <w:rPr>
                <w:b/>
                <w:bCs/>
              </w:rPr>
              <w:t>Cannabis Clinical Outcomes Research Conference (CCORC)</w:t>
            </w:r>
          </w:p>
          <w:p w14:paraId="33B7D26A" w14:textId="2EBED5C2" w:rsidR="00676935" w:rsidRPr="00676935" w:rsidRDefault="00676935" w:rsidP="00676935">
            <w:pPr>
              <w:pStyle w:val="BodyText"/>
              <w:rPr>
                <w:b/>
                <w:bCs/>
              </w:rPr>
            </w:pPr>
            <w:r w:rsidRPr="00676935">
              <w:t>Registration and Event Inquirie</w:t>
            </w:r>
            <w:r>
              <w:t>s</w:t>
            </w:r>
          </w:p>
          <w:p w14:paraId="796723DD" w14:textId="6A4BF45E" w:rsidR="00676935" w:rsidRPr="00676935" w:rsidRDefault="00B06077" w:rsidP="00676935">
            <w:pPr>
              <w:pStyle w:val="BodyText"/>
              <w:numPr>
                <w:ilvl w:val="0"/>
                <w:numId w:val="7"/>
              </w:numPr>
              <w:spacing w:before="80"/>
              <w:ind w:left="576" w:hanging="288"/>
              <w:rPr>
                <w:b/>
                <w:bCs/>
              </w:rPr>
            </w:pPr>
            <w:r>
              <w:rPr>
                <w:b/>
                <w:bCs/>
              </w:rPr>
              <w:t>Support Team</w:t>
            </w:r>
          </w:p>
          <w:p w14:paraId="72F69120" w14:textId="77777777" w:rsidR="00B06077" w:rsidRPr="00B06077" w:rsidRDefault="00676935" w:rsidP="00B06077">
            <w:pPr>
              <w:pStyle w:val="BodyText"/>
              <w:numPr>
                <w:ilvl w:val="1"/>
                <w:numId w:val="7"/>
              </w:numPr>
              <w:spacing w:before="40"/>
              <w:ind w:left="1008" w:hanging="288"/>
              <w:rPr>
                <w:b/>
                <w:bCs/>
              </w:rPr>
            </w:pPr>
            <w:r w:rsidRPr="00840A14">
              <w:rPr>
                <w:b/>
                <w:bCs/>
              </w:rPr>
              <w:t>Email:</w:t>
            </w:r>
            <w:r w:rsidRPr="00676935">
              <w:rPr>
                <w:b/>
                <w:bCs/>
              </w:rPr>
              <w:t xml:space="preserve"> </w:t>
            </w:r>
            <w:hyperlink r:id="rId12" w:history="1">
              <w:r w:rsidR="00B06077" w:rsidRPr="006F4ABB">
                <w:rPr>
                  <w:rStyle w:val="Hyperlink"/>
                </w:rPr>
                <w:t>mmj.outcomes@cop.ufl.edu</w:t>
              </w:r>
            </w:hyperlink>
          </w:p>
          <w:p w14:paraId="7C33DF46" w14:textId="77777777" w:rsidR="00B06077" w:rsidRPr="00B06077" w:rsidRDefault="00B06077" w:rsidP="00B06077">
            <w:pPr>
              <w:pStyle w:val="BodyText"/>
              <w:numPr>
                <w:ilvl w:val="1"/>
                <w:numId w:val="7"/>
              </w:numPr>
              <w:spacing w:before="40"/>
              <w:ind w:left="1008" w:hanging="288"/>
              <w:rPr>
                <w:b/>
                <w:bCs/>
              </w:rPr>
            </w:pPr>
            <w:r>
              <w:rPr>
                <w:b/>
                <w:bCs/>
              </w:rPr>
              <w:t>Phone:</w:t>
            </w:r>
            <w:r>
              <w:t xml:space="preserve"> 352.273.6984</w:t>
            </w:r>
          </w:p>
          <w:p w14:paraId="4BD23288" w14:textId="6EAABFFA" w:rsidR="00676935" w:rsidRPr="00B06077" w:rsidRDefault="00B06077" w:rsidP="00B06077">
            <w:pPr>
              <w:pStyle w:val="BodyText"/>
              <w:numPr>
                <w:ilvl w:val="1"/>
                <w:numId w:val="7"/>
              </w:numPr>
              <w:spacing w:before="40"/>
              <w:ind w:left="1008" w:hanging="288"/>
              <w:rPr>
                <w:b/>
                <w:bCs/>
              </w:rPr>
            </w:pPr>
            <w:r>
              <w:rPr>
                <w:b/>
                <w:bCs/>
              </w:rPr>
              <w:lastRenderedPageBreak/>
              <w:t>Contact Form:</w:t>
            </w:r>
            <w:r>
              <w:t xml:space="preserve"> </w:t>
            </w:r>
            <w:hyperlink r:id="rId13" w:history="1">
              <w:r w:rsidRPr="006F4ABB">
                <w:rPr>
                  <w:rStyle w:val="Hyperlink"/>
                </w:rPr>
                <w:t>https://ccorc.mmjoutcomes.org/about/contact-us/</w:t>
              </w:r>
            </w:hyperlink>
            <w:r>
              <w:t xml:space="preserve"> </w:t>
            </w:r>
            <w:r w:rsidR="00676935" w:rsidRPr="00840A14">
              <w:t xml:space="preserve"> </w:t>
            </w:r>
          </w:p>
        </w:tc>
        <w:tc>
          <w:tcPr>
            <w:tcW w:w="4140" w:type="dxa"/>
          </w:tcPr>
          <w:p w14:paraId="1866A895" w14:textId="08FE8330" w:rsidR="005F69C8" w:rsidRDefault="005F69C8" w:rsidP="007D1A71">
            <w:pPr>
              <w:pStyle w:val="BodyText"/>
              <w:spacing w:before="160"/>
              <w:rPr>
                <w:b/>
                <w:bCs/>
              </w:rPr>
            </w:pPr>
            <w:r>
              <w:rPr>
                <w:b/>
                <w:bCs/>
              </w:rPr>
              <w:lastRenderedPageBreak/>
              <w:t>Office of Continuing Pharmacy Education</w:t>
            </w:r>
          </w:p>
          <w:p w14:paraId="7EF413C8" w14:textId="527BD1D1" w:rsidR="00676935" w:rsidRDefault="00676935" w:rsidP="00676935">
            <w:pPr>
              <w:pStyle w:val="BodyText"/>
            </w:pPr>
            <w:r w:rsidRPr="00676935">
              <w:t>Continuing Education Inquiries</w:t>
            </w:r>
          </w:p>
          <w:p w14:paraId="733AABAA" w14:textId="77777777" w:rsidR="00676935" w:rsidRDefault="00676935" w:rsidP="00676935">
            <w:pPr>
              <w:pStyle w:val="BodyText"/>
              <w:numPr>
                <w:ilvl w:val="0"/>
                <w:numId w:val="9"/>
              </w:numPr>
              <w:spacing w:before="80"/>
              <w:ind w:left="576" w:hanging="288"/>
              <w:rPr>
                <w:b/>
                <w:bCs/>
              </w:rPr>
            </w:pPr>
            <w:r w:rsidRPr="00676935">
              <w:rPr>
                <w:b/>
                <w:bCs/>
              </w:rPr>
              <w:t>Support Team</w:t>
            </w:r>
          </w:p>
          <w:p w14:paraId="3E1756D2" w14:textId="77777777" w:rsidR="00676935" w:rsidRPr="00676935" w:rsidRDefault="005F69C8" w:rsidP="00840A14">
            <w:pPr>
              <w:pStyle w:val="BodyText"/>
              <w:numPr>
                <w:ilvl w:val="1"/>
                <w:numId w:val="9"/>
              </w:numPr>
              <w:spacing w:before="40"/>
              <w:ind w:left="1008" w:hanging="288"/>
              <w:rPr>
                <w:b/>
                <w:bCs/>
              </w:rPr>
            </w:pPr>
            <w:r w:rsidRPr="00840A14">
              <w:rPr>
                <w:b/>
                <w:bCs/>
              </w:rPr>
              <w:t xml:space="preserve">Email: </w:t>
            </w:r>
            <w:hyperlink r:id="rId14" w:history="1">
              <w:r w:rsidRPr="00A11A8A">
                <w:rPr>
                  <w:rStyle w:val="Hyperlink"/>
                </w:rPr>
                <w:t>ahc-cesupport@ufl.edu</w:t>
              </w:r>
            </w:hyperlink>
          </w:p>
          <w:p w14:paraId="59E97C06" w14:textId="126EC20E" w:rsidR="005F69C8" w:rsidRPr="00676935" w:rsidRDefault="005F69C8" w:rsidP="00840A14">
            <w:pPr>
              <w:pStyle w:val="BodyText"/>
              <w:numPr>
                <w:ilvl w:val="1"/>
                <w:numId w:val="9"/>
              </w:numPr>
              <w:spacing w:before="40"/>
              <w:ind w:left="1008" w:hanging="288"/>
              <w:rPr>
                <w:b/>
                <w:bCs/>
              </w:rPr>
            </w:pPr>
            <w:r w:rsidRPr="00840A14">
              <w:rPr>
                <w:b/>
                <w:bCs/>
              </w:rPr>
              <w:t>Phone:</w:t>
            </w:r>
            <w:r w:rsidRPr="00676935">
              <w:t xml:space="preserve"> </w:t>
            </w:r>
            <w:r w:rsidRPr="00A11A8A">
              <w:t>352.273.6275</w:t>
            </w:r>
          </w:p>
        </w:tc>
      </w:tr>
      <w:tr w:rsidR="00676935" w14:paraId="2BBF1AC8" w14:textId="77777777" w:rsidTr="00B06077">
        <w:tc>
          <w:tcPr>
            <w:tcW w:w="5825" w:type="dxa"/>
          </w:tcPr>
          <w:p w14:paraId="554D21A9" w14:textId="77777777" w:rsidR="00676935" w:rsidRPr="00676935" w:rsidRDefault="00676935" w:rsidP="007D1A71">
            <w:pPr>
              <w:pStyle w:val="BodyText"/>
              <w:spacing w:before="160"/>
              <w:rPr>
                <w:b/>
                <w:bCs/>
              </w:rPr>
            </w:pPr>
          </w:p>
        </w:tc>
        <w:tc>
          <w:tcPr>
            <w:tcW w:w="4140" w:type="dxa"/>
          </w:tcPr>
          <w:p w14:paraId="0B1124D8" w14:textId="77777777" w:rsidR="00676935" w:rsidRDefault="00676935" w:rsidP="007D1A71">
            <w:pPr>
              <w:pStyle w:val="BodyText"/>
              <w:spacing w:before="160"/>
              <w:rPr>
                <w:b/>
                <w:bCs/>
              </w:rPr>
            </w:pPr>
          </w:p>
        </w:tc>
      </w:tr>
    </w:tbl>
    <w:p w14:paraId="23D49C99" w14:textId="667B857D" w:rsidR="003C0FEC" w:rsidRPr="003C0FEC" w:rsidRDefault="003C0FEC" w:rsidP="003C0FEC">
      <w:pPr>
        <w:pStyle w:val="Heading1"/>
      </w:pPr>
      <w:r w:rsidRPr="003C0FEC">
        <w:t>Activity Learning Objectives:</w:t>
      </w:r>
    </w:p>
    <w:p w14:paraId="10669D98" w14:textId="77777777" w:rsidR="003C0FEC" w:rsidRPr="00C8261A" w:rsidRDefault="003C0FEC" w:rsidP="003C0FEC">
      <w:pPr>
        <w:pStyle w:val="ListParagraph"/>
        <w:numPr>
          <w:ilvl w:val="0"/>
          <w:numId w:val="10"/>
        </w:numPr>
        <w:ind w:right="0"/>
        <w:contextualSpacing/>
      </w:pPr>
      <w:r w:rsidRPr="00C8261A">
        <w:rPr>
          <w:b/>
          <w:bCs/>
        </w:rPr>
        <w:t>Presentation Title:</w:t>
      </w:r>
      <w:r w:rsidRPr="00C8261A">
        <w:t xml:space="preserve"> Using behavioral economics to understand cannabis use and misuse</w:t>
      </w:r>
    </w:p>
    <w:p w14:paraId="4BB88C03" w14:textId="77777777" w:rsidR="003C0FEC" w:rsidRDefault="003C0FEC" w:rsidP="003C0FEC">
      <w:pPr>
        <w:pStyle w:val="ListParagraph"/>
        <w:widowControl/>
        <w:numPr>
          <w:ilvl w:val="1"/>
          <w:numId w:val="10"/>
        </w:numPr>
        <w:autoSpaceDE/>
        <w:autoSpaceDN/>
        <w:spacing w:after="160" w:line="278" w:lineRule="auto"/>
        <w:ind w:right="0"/>
        <w:contextualSpacing/>
      </w:pPr>
      <w:r w:rsidRPr="00C8261A">
        <w:rPr>
          <w:b/>
          <w:bCs/>
        </w:rPr>
        <w:t xml:space="preserve">Date and Time: </w:t>
      </w:r>
      <w:r>
        <w:t>Thursday, 11/05/2026, 9:30-10:30 AM</w:t>
      </w:r>
    </w:p>
    <w:p w14:paraId="01E026FC" w14:textId="77777777" w:rsidR="003C0FEC" w:rsidRDefault="003C0FEC" w:rsidP="003C0FEC">
      <w:pPr>
        <w:pStyle w:val="ListParagraph"/>
        <w:widowControl/>
        <w:numPr>
          <w:ilvl w:val="1"/>
          <w:numId w:val="10"/>
        </w:numPr>
        <w:autoSpaceDE/>
        <w:autoSpaceDN/>
        <w:spacing w:after="160" w:line="278" w:lineRule="auto"/>
        <w:ind w:right="0"/>
        <w:contextualSpacing/>
      </w:pPr>
      <w:r w:rsidRPr="00C8261A">
        <w:rPr>
          <w:b/>
          <w:bCs/>
        </w:rPr>
        <w:t>Speaker:</w:t>
      </w:r>
      <w:r>
        <w:t xml:space="preserve"> </w:t>
      </w:r>
      <w:r w:rsidRPr="004D1320">
        <w:t>James McKillop</w:t>
      </w:r>
      <w:r>
        <w:t>, PhD</w:t>
      </w:r>
    </w:p>
    <w:p w14:paraId="0F444780" w14:textId="77777777" w:rsidR="003C0FEC" w:rsidRPr="00C8261A" w:rsidRDefault="003C0FEC" w:rsidP="003C0FEC">
      <w:pPr>
        <w:pStyle w:val="ListParagraph"/>
        <w:widowControl/>
        <w:numPr>
          <w:ilvl w:val="1"/>
          <w:numId w:val="10"/>
        </w:numPr>
        <w:autoSpaceDE/>
        <w:autoSpaceDN/>
        <w:spacing w:after="160" w:line="278" w:lineRule="auto"/>
        <w:ind w:right="0"/>
        <w:contextualSpacing/>
        <w:rPr>
          <w:b/>
          <w:bCs/>
        </w:rPr>
      </w:pPr>
      <w:r w:rsidRPr="00C8261A">
        <w:rPr>
          <w:b/>
          <w:bCs/>
        </w:rPr>
        <w:t xml:space="preserve">Learning </w:t>
      </w:r>
      <w:r>
        <w:rPr>
          <w:b/>
          <w:bCs/>
        </w:rPr>
        <w:t>O</w:t>
      </w:r>
      <w:r w:rsidRPr="00C8261A">
        <w:rPr>
          <w:b/>
          <w:bCs/>
        </w:rPr>
        <w:t>bjectives</w:t>
      </w:r>
      <w:r>
        <w:rPr>
          <w:b/>
          <w:bCs/>
        </w:rPr>
        <w:t>:</w:t>
      </w:r>
    </w:p>
    <w:p w14:paraId="4977A496" w14:textId="77777777" w:rsidR="003C0FEC" w:rsidRDefault="003C0FEC" w:rsidP="003C0FEC">
      <w:pPr>
        <w:pStyle w:val="ListParagraph"/>
        <w:widowControl/>
        <w:numPr>
          <w:ilvl w:val="2"/>
          <w:numId w:val="10"/>
        </w:numPr>
        <w:autoSpaceDE/>
        <w:autoSpaceDN/>
        <w:spacing w:after="160" w:line="278" w:lineRule="auto"/>
        <w:ind w:right="0"/>
        <w:contextualSpacing/>
      </w:pPr>
      <w:r>
        <w:t>Investigate trends in cannabis use behaviors as a function of changes in consumer access pathways</w:t>
      </w:r>
    </w:p>
    <w:p w14:paraId="0DF1E9FC" w14:textId="77777777" w:rsidR="003C0FEC" w:rsidRDefault="003C0FEC" w:rsidP="003C0FEC">
      <w:pPr>
        <w:pStyle w:val="ListParagraph"/>
        <w:widowControl/>
        <w:numPr>
          <w:ilvl w:val="2"/>
          <w:numId w:val="10"/>
        </w:numPr>
        <w:autoSpaceDE/>
        <w:autoSpaceDN/>
        <w:spacing w:after="160" w:line="278" w:lineRule="auto"/>
        <w:ind w:right="0"/>
        <w:contextualSpacing/>
      </w:pPr>
      <w:r>
        <w:t>Determine whether there are differences in prevalent and incident cannabis misuse when comparing medical and non-medical cannabis use markets</w:t>
      </w:r>
    </w:p>
    <w:p w14:paraId="50B0241F" w14:textId="6B039A72" w:rsidR="003C0FEC" w:rsidRPr="003C0FEC" w:rsidRDefault="003C0FEC" w:rsidP="003C0FEC">
      <w:pPr>
        <w:pStyle w:val="ListParagraph"/>
        <w:widowControl/>
        <w:numPr>
          <w:ilvl w:val="2"/>
          <w:numId w:val="10"/>
        </w:numPr>
        <w:autoSpaceDE/>
        <w:autoSpaceDN/>
        <w:spacing w:after="160" w:line="278" w:lineRule="auto"/>
        <w:ind w:right="0"/>
        <w:contextualSpacing/>
      </w:pPr>
      <w:r>
        <w:t>Review the role of clinicians in screening for cannabis misuse among patients that disclose cannabis use regardless of the access pathway</w:t>
      </w:r>
    </w:p>
    <w:p w14:paraId="2E8859F2" w14:textId="7E4FA66A" w:rsidR="003C0FEC" w:rsidRDefault="003C0FEC" w:rsidP="003C0FEC">
      <w:pPr>
        <w:pStyle w:val="ListParagraph"/>
        <w:numPr>
          <w:ilvl w:val="0"/>
          <w:numId w:val="10"/>
        </w:numPr>
        <w:ind w:right="0"/>
        <w:contextualSpacing/>
      </w:pPr>
      <w:r w:rsidRPr="00C8261A">
        <w:rPr>
          <w:b/>
          <w:bCs/>
        </w:rPr>
        <w:t xml:space="preserve">Presentation Title: </w:t>
      </w:r>
      <w:r w:rsidRPr="00C8261A">
        <w:t>To eat or not to eat? Cannabinoid control of food intake and energy metabolism</w:t>
      </w:r>
    </w:p>
    <w:p w14:paraId="3FEF73E1" w14:textId="77777777" w:rsidR="003C0FEC" w:rsidRPr="00C8261A" w:rsidRDefault="003C0FEC" w:rsidP="003C0FEC">
      <w:pPr>
        <w:pStyle w:val="ListParagraph"/>
        <w:numPr>
          <w:ilvl w:val="1"/>
          <w:numId w:val="10"/>
        </w:numPr>
        <w:spacing w:after="160"/>
        <w:ind w:right="0"/>
        <w:contextualSpacing/>
      </w:pPr>
      <w:r w:rsidRPr="00C8261A">
        <w:rPr>
          <w:b/>
          <w:bCs/>
        </w:rPr>
        <w:t xml:space="preserve">Date and Time: </w:t>
      </w:r>
      <w:r>
        <w:t>Thursday, 11/05/2026, 1:15-2:15 PM</w:t>
      </w:r>
    </w:p>
    <w:p w14:paraId="603D45D8" w14:textId="77777777" w:rsidR="003C0FEC" w:rsidRDefault="003C0FEC" w:rsidP="003C0FEC">
      <w:pPr>
        <w:pStyle w:val="ListParagraph"/>
        <w:widowControl/>
        <w:numPr>
          <w:ilvl w:val="1"/>
          <w:numId w:val="10"/>
        </w:numPr>
        <w:autoSpaceDE/>
        <w:autoSpaceDN/>
        <w:spacing w:after="160" w:line="278" w:lineRule="auto"/>
        <w:ind w:right="0"/>
        <w:contextualSpacing/>
      </w:pPr>
      <w:r w:rsidRPr="00C8261A">
        <w:rPr>
          <w:b/>
          <w:bCs/>
        </w:rPr>
        <w:t>Speaker:</w:t>
      </w:r>
      <w:r>
        <w:t xml:space="preserve"> </w:t>
      </w:r>
      <w:r w:rsidRPr="004D1320">
        <w:t>Nicholas DiPatrizio</w:t>
      </w:r>
      <w:r>
        <w:t>, PhD</w:t>
      </w:r>
    </w:p>
    <w:p w14:paraId="29AD57C5" w14:textId="77777777" w:rsidR="003C0FEC" w:rsidRPr="00C8261A" w:rsidRDefault="003C0FEC" w:rsidP="003C0FEC">
      <w:pPr>
        <w:pStyle w:val="ListParagraph"/>
        <w:widowControl/>
        <w:numPr>
          <w:ilvl w:val="1"/>
          <w:numId w:val="10"/>
        </w:numPr>
        <w:autoSpaceDE/>
        <w:autoSpaceDN/>
        <w:spacing w:after="160" w:line="278" w:lineRule="auto"/>
        <w:ind w:right="0"/>
        <w:contextualSpacing/>
        <w:rPr>
          <w:b/>
          <w:bCs/>
        </w:rPr>
      </w:pPr>
      <w:r w:rsidRPr="00C8261A">
        <w:rPr>
          <w:b/>
          <w:bCs/>
        </w:rPr>
        <w:t>Learning Objectives:</w:t>
      </w:r>
    </w:p>
    <w:p w14:paraId="7A0CF468" w14:textId="77777777" w:rsidR="003C0FEC" w:rsidRDefault="003C0FEC" w:rsidP="003C0FEC">
      <w:pPr>
        <w:pStyle w:val="ListParagraph"/>
        <w:widowControl/>
        <w:numPr>
          <w:ilvl w:val="2"/>
          <w:numId w:val="10"/>
        </w:numPr>
        <w:autoSpaceDE/>
        <w:autoSpaceDN/>
        <w:spacing w:after="160" w:line="278" w:lineRule="auto"/>
        <w:ind w:right="0"/>
        <w:contextualSpacing/>
      </w:pPr>
      <w:r>
        <w:t>Examine the influence of</w:t>
      </w:r>
      <w:r w:rsidRPr="004D1320">
        <w:t xml:space="preserve"> cannabinoid</w:t>
      </w:r>
      <w:r>
        <w:t>s</w:t>
      </w:r>
      <w:r w:rsidRPr="004D1320">
        <w:t xml:space="preserve"> on food intake and energy metabolism</w:t>
      </w:r>
    </w:p>
    <w:p w14:paraId="5E0943CC" w14:textId="77777777" w:rsidR="003C0FEC" w:rsidRDefault="003C0FEC" w:rsidP="003C0FEC">
      <w:pPr>
        <w:pStyle w:val="ListParagraph"/>
        <w:widowControl/>
        <w:numPr>
          <w:ilvl w:val="2"/>
          <w:numId w:val="10"/>
        </w:numPr>
        <w:autoSpaceDE/>
        <w:autoSpaceDN/>
        <w:spacing w:after="160" w:line="278" w:lineRule="auto"/>
        <w:ind w:right="0"/>
        <w:contextualSpacing/>
      </w:pPr>
      <w:r>
        <w:t>Describe the role of clinicians in risk-benefit counseling when cannabinoids are trialed for appetite and appetite-related symptoms</w:t>
      </w:r>
    </w:p>
    <w:p w14:paraId="247AD96E" w14:textId="77777777" w:rsidR="003C0FEC" w:rsidRDefault="003C0FEC" w:rsidP="003C0FEC">
      <w:pPr>
        <w:pStyle w:val="ListParagraph"/>
        <w:widowControl/>
        <w:numPr>
          <w:ilvl w:val="2"/>
          <w:numId w:val="10"/>
        </w:numPr>
        <w:autoSpaceDE/>
        <w:autoSpaceDN/>
        <w:spacing w:after="160" w:line="278" w:lineRule="auto"/>
        <w:ind w:right="0"/>
        <w:contextualSpacing/>
      </w:pPr>
      <w:r>
        <w:t xml:space="preserve">Analyze the translational potential for cannabinoids as adjuvant therapeutics for conditions that </w:t>
      </w:r>
      <w:proofErr w:type="gramStart"/>
      <w:r>
        <w:t>effect</w:t>
      </w:r>
      <w:proofErr w:type="gramEnd"/>
      <w:r>
        <w:t xml:space="preserve"> food intake and/or energy metabolism</w:t>
      </w:r>
    </w:p>
    <w:p w14:paraId="17F40F27" w14:textId="77777777" w:rsidR="003C0FEC" w:rsidRDefault="003C0FEC" w:rsidP="003C0FEC">
      <w:pPr>
        <w:pStyle w:val="ListParagraph"/>
        <w:numPr>
          <w:ilvl w:val="0"/>
          <w:numId w:val="10"/>
        </w:numPr>
        <w:ind w:right="0"/>
        <w:contextualSpacing/>
      </w:pPr>
      <w:r w:rsidRPr="00C8261A">
        <w:rPr>
          <w:b/>
          <w:bCs/>
        </w:rPr>
        <w:t>Presentation Title:</w:t>
      </w:r>
      <w:r w:rsidRPr="00C8261A">
        <w:t xml:space="preserve"> Tolerance breaks and other forms of controlled cannabis use: Implications for clinical research and practice</w:t>
      </w:r>
    </w:p>
    <w:p w14:paraId="08F61BDF" w14:textId="77777777" w:rsidR="003C0FEC" w:rsidRPr="00C8261A" w:rsidRDefault="003C0FEC" w:rsidP="003C0FEC">
      <w:pPr>
        <w:pStyle w:val="ListParagraph"/>
        <w:numPr>
          <w:ilvl w:val="1"/>
          <w:numId w:val="10"/>
        </w:numPr>
        <w:ind w:right="0"/>
        <w:contextualSpacing/>
      </w:pPr>
      <w:r>
        <w:rPr>
          <w:b/>
          <w:bCs/>
        </w:rPr>
        <w:t>Date and Time:</w:t>
      </w:r>
      <w:r>
        <w:t xml:space="preserve"> Friday, 11/06/2026, 9:15-10:15 AM</w:t>
      </w:r>
    </w:p>
    <w:p w14:paraId="6497DF2D" w14:textId="77777777" w:rsidR="003C0FEC" w:rsidRDefault="003C0FEC" w:rsidP="003C0FEC">
      <w:pPr>
        <w:pStyle w:val="ListParagraph"/>
        <w:widowControl/>
        <w:numPr>
          <w:ilvl w:val="1"/>
          <w:numId w:val="10"/>
        </w:numPr>
        <w:autoSpaceDE/>
        <w:autoSpaceDN/>
        <w:spacing w:after="160" w:line="278" w:lineRule="auto"/>
        <w:ind w:right="0"/>
        <w:contextualSpacing/>
      </w:pPr>
      <w:r w:rsidRPr="00C8261A">
        <w:rPr>
          <w:b/>
          <w:bCs/>
        </w:rPr>
        <w:t>Speaker:</w:t>
      </w:r>
      <w:r>
        <w:t xml:space="preserve"> </w:t>
      </w:r>
      <w:r w:rsidRPr="004D1320">
        <w:t>Stephen Lankenau</w:t>
      </w:r>
      <w:r>
        <w:t>, PhD</w:t>
      </w:r>
    </w:p>
    <w:p w14:paraId="31599EC9" w14:textId="77777777" w:rsidR="003C0FEC" w:rsidRPr="00C8261A" w:rsidRDefault="003C0FEC" w:rsidP="003C0FEC">
      <w:pPr>
        <w:pStyle w:val="ListParagraph"/>
        <w:widowControl/>
        <w:numPr>
          <w:ilvl w:val="1"/>
          <w:numId w:val="10"/>
        </w:numPr>
        <w:autoSpaceDE/>
        <w:autoSpaceDN/>
        <w:spacing w:after="160" w:line="278" w:lineRule="auto"/>
        <w:ind w:right="0"/>
        <w:contextualSpacing/>
        <w:rPr>
          <w:b/>
          <w:bCs/>
        </w:rPr>
      </w:pPr>
      <w:r w:rsidRPr="00C8261A">
        <w:rPr>
          <w:b/>
          <w:bCs/>
        </w:rPr>
        <w:t>Learning Objectives:</w:t>
      </w:r>
    </w:p>
    <w:p w14:paraId="562D4BE7" w14:textId="77777777" w:rsidR="003C0FEC" w:rsidRDefault="003C0FEC" w:rsidP="003C0FEC">
      <w:pPr>
        <w:pStyle w:val="ListParagraph"/>
        <w:widowControl/>
        <w:numPr>
          <w:ilvl w:val="2"/>
          <w:numId w:val="10"/>
        </w:numPr>
        <w:autoSpaceDE/>
        <w:autoSpaceDN/>
        <w:spacing w:after="160" w:line="278" w:lineRule="auto"/>
        <w:ind w:right="0"/>
        <w:contextualSpacing/>
      </w:pPr>
      <w:r>
        <w:t>Review emerging guidance on supervised cannabis use in select clinical conditions</w:t>
      </w:r>
    </w:p>
    <w:p w14:paraId="22C5B051" w14:textId="77777777" w:rsidR="003C0FEC" w:rsidRDefault="003C0FEC" w:rsidP="003C0FEC">
      <w:pPr>
        <w:pStyle w:val="ListParagraph"/>
        <w:widowControl/>
        <w:numPr>
          <w:ilvl w:val="2"/>
          <w:numId w:val="10"/>
        </w:numPr>
        <w:autoSpaceDE/>
        <w:autoSpaceDN/>
        <w:spacing w:after="160" w:line="278" w:lineRule="auto"/>
        <w:ind w:right="0"/>
        <w:contextualSpacing/>
      </w:pPr>
      <w:r>
        <w:t>Examine the evidence gap for clinician counseling on tolerance breaks in patients that have supervised cannabis use</w:t>
      </w:r>
    </w:p>
    <w:p w14:paraId="1509CD46" w14:textId="77777777" w:rsidR="003C0FEC" w:rsidRDefault="003C0FEC" w:rsidP="003C0FEC">
      <w:pPr>
        <w:pStyle w:val="ListParagraph"/>
        <w:widowControl/>
        <w:numPr>
          <w:ilvl w:val="2"/>
          <w:numId w:val="10"/>
        </w:numPr>
        <w:autoSpaceDE/>
        <w:autoSpaceDN/>
        <w:spacing w:after="160" w:line="278" w:lineRule="auto"/>
        <w:ind w:right="0"/>
        <w:contextualSpacing/>
      </w:pPr>
      <w:r>
        <w:t>Describe the role of clinicians in screening for cannabis use and monitoring for safety events when patients disclose cannabis use and/or problematic cannabis use</w:t>
      </w:r>
    </w:p>
    <w:p w14:paraId="2A115B20" w14:textId="77777777" w:rsidR="00A11A8A" w:rsidRPr="005F69C8" w:rsidRDefault="00A11A8A" w:rsidP="007D1A71">
      <w:pPr>
        <w:pStyle w:val="BodyText"/>
        <w:spacing w:before="160"/>
        <w:ind w:left="115"/>
        <w:rPr>
          <w:b/>
          <w:bCs/>
        </w:rPr>
      </w:pPr>
    </w:p>
    <w:sectPr w:rsidR="00A11A8A" w:rsidRPr="005F69C8" w:rsidSect="000C3FEA">
      <w:footerReference w:type="default" r:id="rId15"/>
      <w:type w:val="continuous"/>
      <w:pgSz w:w="12240" w:h="15840"/>
      <w:pgMar w:top="1080" w:right="1080" w:bottom="1080" w:left="1080" w:header="720" w:footer="720" w:gutter="0"/>
      <w:pgBorders w:offsetFrom="page">
        <w:top w:val="double" w:sz="4" w:space="24" w:color="2E5395"/>
        <w:left w:val="double" w:sz="4" w:space="24" w:color="2E5395"/>
        <w:bottom w:val="double" w:sz="4" w:space="24" w:color="2E5395"/>
        <w:right w:val="double" w:sz="4" w:space="24" w:color="2E5395"/>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33F0" w14:textId="77777777" w:rsidR="00A74214" w:rsidRDefault="00A74214" w:rsidP="006B37DF">
      <w:r>
        <w:separator/>
      </w:r>
    </w:p>
  </w:endnote>
  <w:endnote w:type="continuationSeparator" w:id="0">
    <w:p w14:paraId="52271C91" w14:textId="77777777" w:rsidR="00A74214" w:rsidRDefault="00A74214" w:rsidP="006B3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4FF3" w14:textId="1E4FAE44" w:rsidR="00E83DF7" w:rsidRPr="00E83DF7" w:rsidRDefault="00E83DF7">
    <w:pPr>
      <w:pStyle w:val="Footer"/>
      <w:rPr>
        <w:sz w:val="14"/>
        <w:szCs w:val="14"/>
      </w:rPr>
    </w:pPr>
    <w:r w:rsidRPr="00E83DF7">
      <w:rPr>
        <w:rFonts w:ascii="Segoe UI Symbol" w:hAnsi="Segoe UI Symbol" w:cs="Segoe UI Symbol"/>
        <w:sz w:val="14"/>
        <w:szCs w:val="14"/>
      </w:rPr>
      <w:t>✝</w:t>
    </w:r>
    <w:r w:rsidRPr="00E83DF7">
      <w:rPr>
        <w:sz w:val="14"/>
        <w:szCs w:val="14"/>
      </w:rPr>
      <w:t>Available virtually, see registration for details. For computer requirements, visit https://cpe.pharmacy.ufl.edu/resources/additional-resources/computer-req/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C3C02" w14:textId="77777777" w:rsidR="00A74214" w:rsidRDefault="00A74214" w:rsidP="006B37DF">
      <w:r>
        <w:separator/>
      </w:r>
    </w:p>
  </w:footnote>
  <w:footnote w:type="continuationSeparator" w:id="0">
    <w:p w14:paraId="219BA6FA" w14:textId="77777777" w:rsidR="00A74214" w:rsidRDefault="00A74214" w:rsidP="006B3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3BC"/>
    <w:multiLevelType w:val="hybridMultilevel"/>
    <w:tmpl w:val="18527954"/>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0F84CCA"/>
    <w:multiLevelType w:val="hybridMultilevel"/>
    <w:tmpl w:val="57F6E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B078DF"/>
    <w:multiLevelType w:val="hybridMultilevel"/>
    <w:tmpl w:val="BC023D02"/>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 w15:restartNumberingAfterBreak="0">
    <w:nsid w:val="5AF00151"/>
    <w:multiLevelType w:val="hybridMultilevel"/>
    <w:tmpl w:val="4EBE4B50"/>
    <w:lvl w:ilvl="0" w:tplc="04090001">
      <w:start w:val="1"/>
      <w:numFmt w:val="bullet"/>
      <w:lvlText w:val=""/>
      <w:lvlJc w:val="left"/>
      <w:pPr>
        <w:ind w:left="1389" w:hanging="360"/>
      </w:pPr>
      <w:rPr>
        <w:rFonts w:ascii="Symbol" w:hAnsi="Symbol" w:hint="default"/>
      </w:rPr>
    </w:lvl>
    <w:lvl w:ilvl="1" w:tplc="04090003" w:tentative="1">
      <w:start w:val="1"/>
      <w:numFmt w:val="bullet"/>
      <w:lvlText w:val="o"/>
      <w:lvlJc w:val="left"/>
      <w:pPr>
        <w:ind w:left="2109" w:hanging="360"/>
      </w:pPr>
      <w:rPr>
        <w:rFonts w:ascii="Courier New" w:hAnsi="Courier New" w:cs="Courier New" w:hint="default"/>
      </w:rPr>
    </w:lvl>
    <w:lvl w:ilvl="2" w:tplc="04090005" w:tentative="1">
      <w:start w:val="1"/>
      <w:numFmt w:val="bullet"/>
      <w:lvlText w:val=""/>
      <w:lvlJc w:val="left"/>
      <w:pPr>
        <w:ind w:left="2829" w:hanging="360"/>
      </w:pPr>
      <w:rPr>
        <w:rFonts w:ascii="Wingdings" w:hAnsi="Wingdings" w:hint="default"/>
      </w:rPr>
    </w:lvl>
    <w:lvl w:ilvl="3" w:tplc="04090001" w:tentative="1">
      <w:start w:val="1"/>
      <w:numFmt w:val="bullet"/>
      <w:lvlText w:val=""/>
      <w:lvlJc w:val="left"/>
      <w:pPr>
        <w:ind w:left="3549" w:hanging="360"/>
      </w:pPr>
      <w:rPr>
        <w:rFonts w:ascii="Symbol" w:hAnsi="Symbol" w:hint="default"/>
      </w:rPr>
    </w:lvl>
    <w:lvl w:ilvl="4" w:tplc="04090003" w:tentative="1">
      <w:start w:val="1"/>
      <w:numFmt w:val="bullet"/>
      <w:lvlText w:val="o"/>
      <w:lvlJc w:val="left"/>
      <w:pPr>
        <w:ind w:left="4269" w:hanging="360"/>
      </w:pPr>
      <w:rPr>
        <w:rFonts w:ascii="Courier New" w:hAnsi="Courier New" w:cs="Courier New" w:hint="default"/>
      </w:rPr>
    </w:lvl>
    <w:lvl w:ilvl="5" w:tplc="04090005" w:tentative="1">
      <w:start w:val="1"/>
      <w:numFmt w:val="bullet"/>
      <w:lvlText w:val=""/>
      <w:lvlJc w:val="left"/>
      <w:pPr>
        <w:ind w:left="4989" w:hanging="360"/>
      </w:pPr>
      <w:rPr>
        <w:rFonts w:ascii="Wingdings" w:hAnsi="Wingdings" w:hint="default"/>
      </w:rPr>
    </w:lvl>
    <w:lvl w:ilvl="6" w:tplc="04090001" w:tentative="1">
      <w:start w:val="1"/>
      <w:numFmt w:val="bullet"/>
      <w:lvlText w:val=""/>
      <w:lvlJc w:val="left"/>
      <w:pPr>
        <w:ind w:left="5709" w:hanging="360"/>
      </w:pPr>
      <w:rPr>
        <w:rFonts w:ascii="Symbol" w:hAnsi="Symbol" w:hint="default"/>
      </w:rPr>
    </w:lvl>
    <w:lvl w:ilvl="7" w:tplc="04090003" w:tentative="1">
      <w:start w:val="1"/>
      <w:numFmt w:val="bullet"/>
      <w:lvlText w:val="o"/>
      <w:lvlJc w:val="left"/>
      <w:pPr>
        <w:ind w:left="6429" w:hanging="360"/>
      </w:pPr>
      <w:rPr>
        <w:rFonts w:ascii="Courier New" w:hAnsi="Courier New" w:cs="Courier New" w:hint="default"/>
      </w:rPr>
    </w:lvl>
    <w:lvl w:ilvl="8" w:tplc="04090005" w:tentative="1">
      <w:start w:val="1"/>
      <w:numFmt w:val="bullet"/>
      <w:lvlText w:val=""/>
      <w:lvlJc w:val="left"/>
      <w:pPr>
        <w:ind w:left="7149" w:hanging="360"/>
      </w:pPr>
      <w:rPr>
        <w:rFonts w:ascii="Wingdings" w:hAnsi="Wingdings" w:hint="default"/>
      </w:rPr>
    </w:lvl>
  </w:abstractNum>
  <w:abstractNum w:abstractNumId="4" w15:restartNumberingAfterBreak="0">
    <w:nsid w:val="5F952118"/>
    <w:multiLevelType w:val="hybridMultilevel"/>
    <w:tmpl w:val="8A205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908306F"/>
    <w:multiLevelType w:val="hybridMultilevel"/>
    <w:tmpl w:val="C0A2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9D2CB7"/>
    <w:multiLevelType w:val="hybridMultilevel"/>
    <w:tmpl w:val="FEACB6CA"/>
    <w:lvl w:ilvl="0" w:tplc="0409000F">
      <w:start w:val="1"/>
      <w:numFmt w:val="decimal"/>
      <w:lvlText w:val="%1."/>
      <w:lvlJc w:val="left"/>
      <w:pPr>
        <w:ind w:left="720" w:hanging="360"/>
      </w:pPr>
      <w:rPr>
        <w:rFonts w:hint="default"/>
      </w:rPr>
    </w:lvl>
    <w:lvl w:ilvl="1" w:tplc="DAF0CD7A">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133507"/>
    <w:multiLevelType w:val="hybridMultilevel"/>
    <w:tmpl w:val="71925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241220"/>
    <w:multiLevelType w:val="hybridMultilevel"/>
    <w:tmpl w:val="1BBA24A4"/>
    <w:lvl w:ilvl="0" w:tplc="2D3819B8">
      <w:numFmt w:val="bullet"/>
      <w:lvlText w:val=""/>
      <w:lvlJc w:val="left"/>
      <w:pPr>
        <w:ind w:left="815" w:hanging="361"/>
      </w:pPr>
      <w:rPr>
        <w:rFonts w:ascii="Symbol" w:eastAsia="Symbol" w:hAnsi="Symbol" w:cs="Symbol" w:hint="default"/>
        <w:b w:val="0"/>
        <w:bCs w:val="0"/>
        <w:i w:val="0"/>
        <w:iCs w:val="0"/>
        <w:spacing w:val="0"/>
        <w:w w:val="100"/>
        <w:sz w:val="22"/>
        <w:szCs w:val="22"/>
        <w:lang w:val="en-US" w:eastAsia="en-US" w:bidi="ar-SA"/>
      </w:rPr>
    </w:lvl>
    <w:lvl w:ilvl="1" w:tplc="0F50DDDE">
      <w:numFmt w:val="bullet"/>
      <w:lvlText w:val="•"/>
      <w:lvlJc w:val="left"/>
      <w:pPr>
        <w:ind w:left="1688" w:hanging="361"/>
      </w:pPr>
      <w:rPr>
        <w:rFonts w:hint="default"/>
        <w:lang w:val="en-US" w:eastAsia="en-US" w:bidi="ar-SA"/>
      </w:rPr>
    </w:lvl>
    <w:lvl w:ilvl="2" w:tplc="4D7AB440">
      <w:numFmt w:val="bullet"/>
      <w:lvlText w:val="•"/>
      <w:lvlJc w:val="left"/>
      <w:pPr>
        <w:ind w:left="2556" w:hanging="361"/>
      </w:pPr>
      <w:rPr>
        <w:rFonts w:hint="default"/>
        <w:lang w:val="en-US" w:eastAsia="en-US" w:bidi="ar-SA"/>
      </w:rPr>
    </w:lvl>
    <w:lvl w:ilvl="3" w:tplc="9E8A8826">
      <w:numFmt w:val="bullet"/>
      <w:lvlText w:val="•"/>
      <w:lvlJc w:val="left"/>
      <w:pPr>
        <w:ind w:left="3424" w:hanging="361"/>
      </w:pPr>
      <w:rPr>
        <w:rFonts w:hint="default"/>
        <w:lang w:val="en-US" w:eastAsia="en-US" w:bidi="ar-SA"/>
      </w:rPr>
    </w:lvl>
    <w:lvl w:ilvl="4" w:tplc="7CBE0ED8">
      <w:numFmt w:val="bullet"/>
      <w:lvlText w:val="•"/>
      <w:lvlJc w:val="left"/>
      <w:pPr>
        <w:ind w:left="4292" w:hanging="361"/>
      </w:pPr>
      <w:rPr>
        <w:rFonts w:hint="default"/>
        <w:lang w:val="en-US" w:eastAsia="en-US" w:bidi="ar-SA"/>
      </w:rPr>
    </w:lvl>
    <w:lvl w:ilvl="5" w:tplc="ED1CD5AA">
      <w:numFmt w:val="bullet"/>
      <w:lvlText w:val="•"/>
      <w:lvlJc w:val="left"/>
      <w:pPr>
        <w:ind w:left="5160" w:hanging="361"/>
      </w:pPr>
      <w:rPr>
        <w:rFonts w:hint="default"/>
        <w:lang w:val="en-US" w:eastAsia="en-US" w:bidi="ar-SA"/>
      </w:rPr>
    </w:lvl>
    <w:lvl w:ilvl="6" w:tplc="99F834AA">
      <w:numFmt w:val="bullet"/>
      <w:lvlText w:val="•"/>
      <w:lvlJc w:val="left"/>
      <w:pPr>
        <w:ind w:left="6028" w:hanging="361"/>
      </w:pPr>
      <w:rPr>
        <w:rFonts w:hint="default"/>
        <w:lang w:val="en-US" w:eastAsia="en-US" w:bidi="ar-SA"/>
      </w:rPr>
    </w:lvl>
    <w:lvl w:ilvl="7" w:tplc="DE144B28">
      <w:numFmt w:val="bullet"/>
      <w:lvlText w:val="•"/>
      <w:lvlJc w:val="left"/>
      <w:pPr>
        <w:ind w:left="6896" w:hanging="361"/>
      </w:pPr>
      <w:rPr>
        <w:rFonts w:hint="default"/>
        <w:lang w:val="en-US" w:eastAsia="en-US" w:bidi="ar-SA"/>
      </w:rPr>
    </w:lvl>
    <w:lvl w:ilvl="8" w:tplc="D4DEEAD2">
      <w:numFmt w:val="bullet"/>
      <w:lvlText w:val="•"/>
      <w:lvlJc w:val="left"/>
      <w:pPr>
        <w:ind w:left="7764" w:hanging="361"/>
      </w:pPr>
      <w:rPr>
        <w:rFonts w:hint="default"/>
        <w:lang w:val="en-US" w:eastAsia="en-US" w:bidi="ar-SA"/>
      </w:rPr>
    </w:lvl>
  </w:abstractNum>
  <w:abstractNum w:abstractNumId="9" w15:restartNumberingAfterBreak="0">
    <w:nsid w:val="7DED4BDE"/>
    <w:multiLevelType w:val="hybridMultilevel"/>
    <w:tmpl w:val="2AA6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35752250">
    <w:abstractNumId w:val="8"/>
  </w:num>
  <w:num w:numId="2" w16cid:durableId="1830055782">
    <w:abstractNumId w:val="3"/>
  </w:num>
  <w:num w:numId="3" w16cid:durableId="2065595697">
    <w:abstractNumId w:val="0"/>
  </w:num>
  <w:num w:numId="4" w16cid:durableId="1513908626">
    <w:abstractNumId w:val="4"/>
  </w:num>
  <w:num w:numId="5" w16cid:durableId="111874268">
    <w:abstractNumId w:val="5"/>
  </w:num>
  <w:num w:numId="6" w16cid:durableId="565840283">
    <w:abstractNumId w:val="2"/>
  </w:num>
  <w:num w:numId="7" w16cid:durableId="1248076637">
    <w:abstractNumId w:val="7"/>
  </w:num>
  <w:num w:numId="8" w16cid:durableId="1521703978">
    <w:abstractNumId w:val="9"/>
  </w:num>
  <w:num w:numId="9" w16cid:durableId="358895080">
    <w:abstractNumId w:val="1"/>
  </w:num>
  <w:num w:numId="10" w16cid:durableId="7706637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43"/>
    <w:rsid w:val="00025A61"/>
    <w:rsid w:val="00060209"/>
    <w:rsid w:val="000876C2"/>
    <w:rsid w:val="00096DA5"/>
    <w:rsid w:val="000A55F0"/>
    <w:rsid w:val="000A71C3"/>
    <w:rsid w:val="000B4EB8"/>
    <w:rsid w:val="000C3FEA"/>
    <w:rsid w:val="000D5B0C"/>
    <w:rsid w:val="00120E05"/>
    <w:rsid w:val="00165AF9"/>
    <w:rsid w:val="00174AEF"/>
    <w:rsid w:val="001922CE"/>
    <w:rsid w:val="00243DB9"/>
    <w:rsid w:val="0027636E"/>
    <w:rsid w:val="00276DB1"/>
    <w:rsid w:val="002830B9"/>
    <w:rsid w:val="002B465F"/>
    <w:rsid w:val="002C6F46"/>
    <w:rsid w:val="00316276"/>
    <w:rsid w:val="00343DD3"/>
    <w:rsid w:val="00354A30"/>
    <w:rsid w:val="0036166E"/>
    <w:rsid w:val="003C0FEC"/>
    <w:rsid w:val="003F37FA"/>
    <w:rsid w:val="0040587A"/>
    <w:rsid w:val="0045381F"/>
    <w:rsid w:val="00472729"/>
    <w:rsid w:val="004A5F72"/>
    <w:rsid w:val="004C03DC"/>
    <w:rsid w:val="005652DA"/>
    <w:rsid w:val="0058060A"/>
    <w:rsid w:val="005E3654"/>
    <w:rsid w:val="005E4998"/>
    <w:rsid w:val="005F69C8"/>
    <w:rsid w:val="00610370"/>
    <w:rsid w:val="006324C2"/>
    <w:rsid w:val="00640758"/>
    <w:rsid w:val="006428A4"/>
    <w:rsid w:val="00676935"/>
    <w:rsid w:val="006B37DF"/>
    <w:rsid w:val="006C6197"/>
    <w:rsid w:val="006F379C"/>
    <w:rsid w:val="007363F0"/>
    <w:rsid w:val="00746789"/>
    <w:rsid w:val="00755823"/>
    <w:rsid w:val="0076249D"/>
    <w:rsid w:val="0076542D"/>
    <w:rsid w:val="007723CD"/>
    <w:rsid w:val="007B5D63"/>
    <w:rsid w:val="007D1A71"/>
    <w:rsid w:val="00840A14"/>
    <w:rsid w:val="00846D68"/>
    <w:rsid w:val="00855141"/>
    <w:rsid w:val="008722C9"/>
    <w:rsid w:val="008E6B70"/>
    <w:rsid w:val="008F02F8"/>
    <w:rsid w:val="0090769B"/>
    <w:rsid w:val="0099076F"/>
    <w:rsid w:val="009E1895"/>
    <w:rsid w:val="00A11A8A"/>
    <w:rsid w:val="00A74214"/>
    <w:rsid w:val="00AA1143"/>
    <w:rsid w:val="00B06077"/>
    <w:rsid w:val="00B547AE"/>
    <w:rsid w:val="00B84185"/>
    <w:rsid w:val="00BC004F"/>
    <w:rsid w:val="00BF1C49"/>
    <w:rsid w:val="00C22311"/>
    <w:rsid w:val="00C52785"/>
    <w:rsid w:val="00C53717"/>
    <w:rsid w:val="00CB2452"/>
    <w:rsid w:val="00CB5D9C"/>
    <w:rsid w:val="00CB7A78"/>
    <w:rsid w:val="00D12F3B"/>
    <w:rsid w:val="00D24EE8"/>
    <w:rsid w:val="00D413D2"/>
    <w:rsid w:val="00D46F6D"/>
    <w:rsid w:val="00DD3212"/>
    <w:rsid w:val="00DD600B"/>
    <w:rsid w:val="00DE3FFD"/>
    <w:rsid w:val="00DF667A"/>
    <w:rsid w:val="00E26A35"/>
    <w:rsid w:val="00E603A3"/>
    <w:rsid w:val="00E666EC"/>
    <w:rsid w:val="00E77DC3"/>
    <w:rsid w:val="00E83DF7"/>
    <w:rsid w:val="00EA7BC9"/>
    <w:rsid w:val="00EB423F"/>
    <w:rsid w:val="00EC125F"/>
    <w:rsid w:val="00ED199F"/>
    <w:rsid w:val="00F02206"/>
    <w:rsid w:val="00F918CC"/>
    <w:rsid w:val="00FE1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9F8F"/>
  <w15:docId w15:val="{2059DFF2-F543-4B28-9601-CB7D2476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5"/>
      <w:ind w:left="132"/>
      <w:jc w:val="center"/>
    </w:pPr>
    <w:rPr>
      <w:b/>
      <w:bCs/>
      <w:sz w:val="36"/>
      <w:szCs w:val="36"/>
    </w:rPr>
  </w:style>
  <w:style w:type="paragraph" w:styleId="ListParagraph">
    <w:name w:val="List Paragraph"/>
    <w:basedOn w:val="Normal"/>
    <w:uiPriority w:val="34"/>
    <w:qFormat/>
    <w:pPr>
      <w:ind w:left="815" w:right="248" w:hanging="361"/>
    </w:pPr>
  </w:style>
  <w:style w:type="paragraph" w:customStyle="1" w:styleId="TableParagraph">
    <w:name w:val="Table Paragraph"/>
    <w:basedOn w:val="Normal"/>
    <w:uiPriority w:val="1"/>
    <w:qFormat/>
  </w:style>
  <w:style w:type="paragraph" w:styleId="EnvelopeReturn">
    <w:name w:val="envelope return"/>
    <w:basedOn w:val="Normal"/>
    <w:rsid w:val="00096DA5"/>
    <w:pPr>
      <w:widowControl/>
      <w:autoSpaceDE/>
      <w:autoSpaceDN/>
    </w:pPr>
    <w:rPr>
      <w:rFonts w:ascii="Times New Roman" w:eastAsia="Times New Roman" w:hAnsi="Times New Roman" w:cs="Times New Roman"/>
      <w:sz w:val="24"/>
      <w:szCs w:val="20"/>
    </w:rPr>
  </w:style>
  <w:style w:type="table" w:styleId="TableGrid">
    <w:name w:val="Table Grid"/>
    <w:basedOn w:val="TableNormal"/>
    <w:uiPriority w:val="39"/>
    <w:rsid w:val="00316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76C2"/>
    <w:rPr>
      <w:color w:val="0000FF" w:themeColor="hyperlink"/>
      <w:u w:val="single"/>
    </w:rPr>
  </w:style>
  <w:style w:type="character" w:styleId="UnresolvedMention">
    <w:name w:val="Unresolved Mention"/>
    <w:basedOn w:val="DefaultParagraphFont"/>
    <w:uiPriority w:val="99"/>
    <w:semiHidden/>
    <w:unhideWhenUsed/>
    <w:rsid w:val="000876C2"/>
    <w:rPr>
      <w:color w:val="605E5C"/>
      <w:shd w:val="clear" w:color="auto" w:fill="E1DFDD"/>
    </w:rPr>
  </w:style>
  <w:style w:type="paragraph" w:styleId="Header">
    <w:name w:val="header"/>
    <w:basedOn w:val="Normal"/>
    <w:link w:val="HeaderChar"/>
    <w:uiPriority w:val="99"/>
    <w:unhideWhenUsed/>
    <w:rsid w:val="006B37DF"/>
    <w:pPr>
      <w:tabs>
        <w:tab w:val="center" w:pos="4680"/>
        <w:tab w:val="right" w:pos="9360"/>
      </w:tabs>
    </w:pPr>
  </w:style>
  <w:style w:type="character" w:customStyle="1" w:styleId="HeaderChar">
    <w:name w:val="Header Char"/>
    <w:basedOn w:val="DefaultParagraphFont"/>
    <w:link w:val="Header"/>
    <w:uiPriority w:val="99"/>
    <w:rsid w:val="006B37DF"/>
    <w:rPr>
      <w:rFonts w:ascii="Calibri" w:eastAsia="Calibri" w:hAnsi="Calibri" w:cs="Calibri"/>
    </w:rPr>
  </w:style>
  <w:style w:type="paragraph" w:styleId="Footer">
    <w:name w:val="footer"/>
    <w:basedOn w:val="Normal"/>
    <w:link w:val="FooterChar"/>
    <w:uiPriority w:val="99"/>
    <w:unhideWhenUsed/>
    <w:rsid w:val="006B37DF"/>
    <w:pPr>
      <w:tabs>
        <w:tab w:val="center" w:pos="4680"/>
        <w:tab w:val="right" w:pos="9360"/>
      </w:tabs>
    </w:pPr>
  </w:style>
  <w:style w:type="character" w:customStyle="1" w:styleId="FooterChar">
    <w:name w:val="Footer Char"/>
    <w:basedOn w:val="DefaultParagraphFont"/>
    <w:link w:val="Footer"/>
    <w:uiPriority w:val="99"/>
    <w:rsid w:val="006B37DF"/>
    <w:rPr>
      <w:rFonts w:ascii="Calibri" w:eastAsia="Calibri" w:hAnsi="Calibri" w:cs="Calibri"/>
    </w:rPr>
  </w:style>
  <w:style w:type="character" w:styleId="CommentReference">
    <w:name w:val="annotation reference"/>
    <w:basedOn w:val="DefaultParagraphFont"/>
    <w:uiPriority w:val="99"/>
    <w:semiHidden/>
    <w:unhideWhenUsed/>
    <w:rsid w:val="00025A61"/>
    <w:rPr>
      <w:sz w:val="16"/>
      <w:szCs w:val="16"/>
    </w:rPr>
  </w:style>
  <w:style w:type="paragraph" w:styleId="CommentText">
    <w:name w:val="annotation text"/>
    <w:basedOn w:val="Normal"/>
    <w:link w:val="CommentTextChar"/>
    <w:uiPriority w:val="99"/>
    <w:unhideWhenUsed/>
    <w:rsid w:val="00025A61"/>
    <w:rPr>
      <w:sz w:val="20"/>
      <w:szCs w:val="20"/>
    </w:rPr>
  </w:style>
  <w:style w:type="character" w:customStyle="1" w:styleId="CommentTextChar">
    <w:name w:val="Comment Text Char"/>
    <w:basedOn w:val="DefaultParagraphFont"/>
    <w:link w:val="CommentText"/>
    <w:uiPriority w:val="99"/>
    <w:rsid w:val="00025A6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25A61"/>
    <w:rPr>
      <w:b/>
      <w:bCs/>
    </w:rPr>
  </w:style>
  <w:style w:type="character" w:customStyle="1" w:styleId="CommentSubjectChar">
    <w:name w:val="Comment Subject Char"/>
    <w:basedOn w:val="CommentTextChar"/>
    <w:link w:val="CommentSubject"/>
    <w:uiPriority w:val="99"/>
    <w:semiHidden/>
    <w:rsid w:val="00025A61"/>
    <w:rPr>
      <w:rFonts w:ascii="Calibri" w:eastAsia="Calibri" w:hAnsi="Calibri" w:cs="Calibri"/>
      <w:b/>
      <w:bCs/>
      <w:sz w:val="20"/>
      <w:szCs w:val="20"/>
    </w:rPr>
  </w:style>
  <w:style w:type="table" w:styleId="PlainTable1">
    <w:name w:val="Plain Table 1"/>
    <w:basedOn w:val="TableNormal"/>
    <w:uiPriority w:val="41"/>
    <w:rsid w:val="00B547A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218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corc.mmjoutcomes.org/about/contact-us/" TargetMode="External"/><Relationship Id="rId3" Type="http://schemas.openxmlformats.org/officeDocument/2006/relationships/settings" Target="settings.xml"/><Relationship Id="rId7" Type="http://schemas.openxmlformats.org/officeDocument/2006/relationships/hyperlink" Target="https://ccorc.mmjoutcomes.org/registration/" TargetMode="External"/><Relationship Id="rId12" Type="http://schemas.openxmlformats.org/officeDocument/2006/relationships/hyperlink" Target="mailto:mmj.outcomes@cop.ufl.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ivacy.ufl.edu/polici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pe.pharmacy.ufl.edu/resources/frequently-asked-questions/cloudcme-faq/" TargetMode="External"/><Relationship Id="rId4" Type="http://schemas.openxmlformats.org/officeDocument/2006/relationships/webSettings" Target="webSettings.xml"/><Relationship Id="rId9" Type="http://schemas.openxmlformats.org/officeDocument/2006/relationships/hyperlink" Target="https://ccorc.mmjoutcomes.org/agenda/" TargetMode="External"/><Relationship Id="rId14" Type="http://schemas.openxmlformats.org/officeDocument/2006/relationships/hyperlink" Target="mailto:ahc-cesupport@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Florida Academic Health Center</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McKitrick, Emely</dc:creator>
  <cp:lastModifiedBy>Carey, Aubrey</cp:lastModifiedBy>
  <cp:revision>9</cp:revision>
  <dcterms:created xsi:type="dcterms:W3CDTF">2026-10-12T19:22:00Z</dcterms:created>
  <dcterms:modified xsi:type="dcterms:W3CDTF">2026-11-03T16:18:00Z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2021-05-28T00:00:00Z</vt:filetime>
  </property>
  <property fmtid="{D5CDD505-2E9C-101B-9397-08002B2CF9AE}" pid="3" name="Creator">
    <vt:lpwstr>Acrobat PDFMaker 21 for Word</vt:lpwstr>
  </property>
  <property fmtid="{D5CDD505-2E9C-101B-9397-08002B2CF9AE}" pid="4" name="LastSaved">
    <vt:filetime>2025-03-19T00:00:00Z</vt:filetime>
  </property>
  <property fmtid="{D5CDD505-2E9C-101B-9397-08002B2CF9AE}" pid="5" name="Producer">
    <vt:lpwstr>Adobe PDF Library 21.1.187</vt:lpwstr>
  </property>
</Properties>
</file>